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26D9" w14:textId="77777777" w:rsidR="005D0020" w:rsidRPr="00B54E4A" w:rsidRDefault="005D0020" w:rsidP="00AC0C9E">
      <w:pPr>
        <w:jc w:val="center"/>
      </w:pPr>
    </w:p>
    <w:p w14:paraId="3D6F1333" w14:textId="77777777" w:rsidR="005D0020" w:rsidRDefault="005D0020" w:rsidP="00AC0C9E">
      <w:pPr>
        <w:jc w:val="center"/>
      </w:pPr>
    </w:p>
    <w:p w14:paraId="69404E83" w14:textId="77777777" w:rsidR="005D0020" w:rsidRDefault="005D0020" w:rsidP="00AC0C9E">
      <w:pPr>
        <w:jc w:val="center"/>
      </w:pPr>
    </w:p>
    <w:p w14:paraId="6310E043" w14:textId="77777777" w:rsidR="005D0020" w:rsidRPr="00B54E4A" w:rsidRDefault="005D0020" w:rsidP="00AC0C9E">
      <w:pPr>
        <w:jc w:val="center"/>
      </w:pPr>
    </w:p>
    <w:p w14:paraId="19786107" w14:textId="77777777" w:rsidR="005D0020" w:rsidRPr="00167928" w:rsidRDefault="005D0020" w:rsidP="00AC0C9E">
      <w:pPr>
        <w:rPr>
          <w:b/>
          <w:sz w:val="44"/>
          <w:szCs w:val="44"/>
        </w:rPr>
      </w:pPr>
      <w:r w:rsidRPr="00167928">
        <w:rPr>
          <w:b/>
          <w:sz w:val="44"/>
          <w:szCs w:val="44"/>
        </w:rPr>
        <w:t xml:space="preserve">Erhebungsbogen </w:t>
      </w:r>
      <w:r w:rsidRPr="00167928">
        <w:rPr>
          <w:b/>
          <w:sz w:val="44"/>
          <w:szCs w:val="44"/>
        </w:rPr>
        <w:br/>
        <w:t xml:space="preserve">zur Erweiterung einer </w:t>
      </w:r>
    </w:p>
    <w:p w14:paraId="3A2F1898" w14:textId="77777777" w:rsidR="005D0020" w:rsidRPr="00167928" w:rsidRDefault="005D0020" w:rsidP="00AC0C9E">
      <w:pPr>
        <w:rPr>
          <w:b/>
          <w:sz w:val="44"/>
          <w:szCs w:val="44"/>
        </w:rPr>
      </w:pPr>
      <w:r w:rsidRPr="00167928">
        <w:rPr>
          <w:b/>
          <w:sz w:val="44"/>
          <w:szCs w:val="44"/>
        </w:rPr>
        <w:t xml:space="preserve">Nephrologischen Schwerpunktklinik </w:t>
      </w:r>
      <w:r w:rsidR="000C2D8B">
        <w:rPr>
          <w:b/>
          <w:sz w:val="44"/>
          <w:szCs w:val="44"/>
        </w:rPr>
        <w:t>DGfN</w:t>
      </w:r>
    </w:p>
    <w:p w14:paraId="3BCF4AE6" w14:textId="77777777" w:rsidR="005D0020" w:rsidRPr="00167928" w:rsidRDefault="005D0020" w:rsidP="00AC0C9E">
      <w:pPr>
        <w:rPr>
          <w:b/>
          <w:sz w:val="44"/>
          <w:szCs w:val="44"/>
        </w:rPr>
      </w:pPr>
      <w:r w:rsidRPr="00167928">
        <w:rPr>
          <w:b/>
          <w:sz w:val="44"/>
          <w:szCs w:val="44"/>
        </w:rPr>
        <w:t xml:space="preserve">um </w:t>
      </w:r>
      <w:r w:rsidR="000C2D8B">
        <w:rPr>
          <w:b/>
          <w:sz w:val="44"/>
          <w:szCs w:val="44"/>
        </w:rPr>
        <w:t>das Modul</w:t>
      </w:r>
    </w:p>
    <w:p w14:paraId="1A791E91" w14:textId="77777777" w:rsidR="005D0020" w:rsidRDefault="00F1105E" w:rsidP="00AC0C9E">
      <w:pPr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Pr="00E7467A">
        <w:rPr>
          <w:b/>
          <w:sz w:val="44"/>
          <w:szCs w:val="44"/>
        </w:rPr>
        <w:t>Zentrum für Nierentransplantation DGfN</w:t>
      </w:r>
      <w:r>
        <w:rPr>
          <w:b/>
          <w:sz w:val="44"/>
          <w:szCs w:val="44"/>
        </w:rPr>
        <w:t>“</w:t>
      </w:r>
      <w:r w:rsidRPr="00167928" w:rsidDel="00F1105E">
        <w:rPr>
          <w:b/>
          <w:sz w:val="44"/>
          <w:szCs w:val="44"/>
        </w:rPr>
        <w:t xml:space="preserve"> </w:t>
      </w:r>
    </w:p>
    <w:p w14:paraId="33965F51" w14:textId="77777777" w:rsidR="00E7467A" w:rsidRPr="00B54E4A" w:rsidRDefault="00E7467A" w:rsidP="00AC0C9E"/>
    <w:p w14:paraId="2AD37A92" w14:textId="77777777" w:rsidR="005D0020" w:rsidRPr="00B54E4A" w:rsidRDefault="005D0020" w:rsidP="00AC0C9E">
      <w:pPr>
        <w:tabs>
          <w:tab w:val="left" w:pos="1985"/>
        </w:tabs>
        <w:rPr>
          <w:sz w:val="32"/>
          <w:szCs w:val="32"/>
        </w:rPr>
      </w:pPr>
      <w:r w:rsidRPr="00B54E4A">
        <w:rPr>
          <w:sz w:val="32"/>
          <w:szCs w:val="32"/>
        </w:rPr>
        <w:t>der Deutschen Gesellschaft für Nephrologie</w:t>
      </w:r>
    </w:p>
    <w:p w14:paraId="0E120C35" w14:textId="77777777" w:rsidR="005D0020" w:rsidRPr="0049424C" w:rsidRDefault="005D0020" w:rsidP="00AC0C9E">
      <w:pPr>
        <w:rPr>
          <w:b/>
        </w:rPr>
      </w:pPr>
    </w:p>
    <w:p w14:paraId="656B0692" w14:textId="77777777" w:rsidR="005D0020" w:rsidRDefault="005D0020" w:rsidP="003A213D">
      <w:pPr>
        <w:jc w:val="both"/>
      </w:pPr>
    </w:p>
    <w:p w14:paraId="55E80D84" w14:textId="77777777" w:rsidR="005D0020" w:rsidRDefault="005D0020" w:rsidP="003A213D">
      <w:pPr>
        <w:jc w:val="both"/>
      </w:pPr>
    </w:p>
    <w:p w14:paraId="425B722C" w14:textId="77777777" w:rsidR="005D0020" w:rsidRDefault="005D0020" w:rsidP="003A213D">
      <w:pPr>
        <w:jc w:val="both"/>
      </w:pPr>
    </w:p>
    <w:p w14:paraId="4937C711" w14:textId="77777777" w:rsidR="005D0020" w:rsidRDefault="005D0020" w:rsidP="003A213D">
      <w:pPr>
        <w:jc w:val="both"/>
      </w:pPr>
    </w:p>
    <w:p w14:paraId="7BDCC325" w14:textId="77777777" w:rsidR="005D0020" w:rsidRDefault="005D0020" w:rsidP="003A213D">
      <w:pPr>
        <w:jc w:val="both"/>
      </w:pPr>
    </w:p>
    <w:p w14:paraId="5F3758D4" w14:textId="77777777" w:rsidR="005D0020" w:rsidRDefault="005D0020" w:rsidP="003A213D">
      <w:pPr>
        <w:jc w:val="both"/>
      </w:pPr>
    </w:p>
    <w:p w14:paraId="510BA680" w14:textId="4580CF87" w:rsidR="00A52213" w:rsidRPr="00CF6294" w:rsidRDefault="00A52213" w:rsidP="00A52213">
      <w:pPr>
        <w:spacing w:after="60"/>
      </w:pPr>
      <w:r w:rsidRPr="00493EE3">
        <w:t xml:space="preserve">Der Erhebungsbogen </w:t>
      </w:r>
      <w:r w:rsidRPr="00CF6294">
        <w:t xml:space="preserve">wurde an einigen Stellen modifiziert. Die vorgenommenen Änderungen sind für alle zukünftigen Audits verbindlich anzuwenden. Übergangsweise kann bis zum </w:t>
      </w:r>
      <w:r>
        <w:rPr>
          <w:color w:val="000000" w:themeColor="text1"/>
        </w:rPr>
        <w:t>30.06.202</w:t>
      </w:r>
      <w:r w:rsidR="00707134">
        <w:rPr>
          <w:color w:val="000000" w:themeColor="text1"/>
        </w:rPr>
        <w:t>3</w:t>
      </w:r>
      <w:r w:rsidRPr="00CF6294">
        <w:rPr>
          <w:color w:val="000000" w:themeColor="text1"/>
        </w:rPr>
        <w:t xml:space="preserve"> </w:t>
      </w:r>
      <w:r w:rsidRPr="00CF6294">
        <w:t>auch der bisher gültige Erhebungsbogen angewandt werden.</w:t>
      </w:r>
    </w:p>
    <w:p w14:paraId="600E0511" w14:textId="77777777" w:rsidR="005D0020" w:rsidRDefault="005D0020" w:rsidP="003A213D">
      <w:pPr>
        <w:jc w:val="both"/>
      </w:pPr>
    </w:p>
    <w:p w14:paraId="14E53705" w14:textId="77777777" w:rsidR="005D0020" w:rsidRDefault="005D0020" w:rsidP="003A213D">
      <w:pPr>
        <w:jc w:val="both"/>
      </w:pPr>
    </w:p>
    <w:p w14:paraId="387C6620" w14:textId="77777777" w:rsidR="005D0020" w:rsidRDefault="005D0020" w:rsidP="003A213D">
      <w:pPr>
        <w:jc w:val="both"/>
      </w:pPr>
    </w:p>
    <w:p w14:paraId="1766B304" w14:textId="4C6F1A2C" w:rsidR="005D0020" w:rsidRPr="00A2472C" w:rsidRDefault="005D0020" w:rsidP="00A63051">
      <w:pPr>
        <w:tabs>
          <w:tab w:val="left" w:pos="1418"/>
        </w:tabs>
        <w:spacing w:before="120"/>
        <w:rPr>
          <w:b/>
        </w:rPr>
      </w:pPr>
      <w:r w:rsidRPr="00A2472C">
        <w:rPr>
          <w:b/>
        </w:rPr>
        <w:t xml:space="preserve">Inkraftsetzung </w:t>
      </w:r>
      <w:r w:rsidRPr="00F1084F">
        <w:rPr>
          <w:b/>
        </w:rPr>
        <w:t xml:space="preserve">zum </w:t>
      </w:r>
      <w:r w:rsidR="00F1084F" w:rsidRPr="00F1084F">
        <w:rPr>
          <w:b/>
        </w:rPr>
        <w:t>21.01.202</w:t>
      </w:r>
      <w:r w:rsidR="00707134">
        <w:rPr>
          <w:b/>
        </w:rPr>
        <w:t>3</w:t>
      </w:r>
      <w:r w:rsidRPr="00F1084F">
        <w:rPr>
          <w:b/>
        </w:rPr>
        <w:t xml:space="preserve"> </w:t>
      </w:r>
      <w:r w:rsidRPr="00A2472C">
        <w:rPr>
          <w:b/>
        </w:rPr>
        <w:t>durch die Zertifizierungskommission der DGfN – Nephrologische Schwerpunktkliniken</w:t>
      </w:r>
      <w:r>
        <w:rPr>
          <w:b/>
        </w:rPr>
        <w:t xml:space="preserve"> </w:t>
      </w:r>
      <w:r w:rsidR="000C2D8B">
        <w:rPr>
          <w:b/>
        </w:rPr>
        <w:t xml:space="preserve">DGfN </w:t>
      </w:r>
      <w:r>
        <w:rPr>
          <w:b/>
        </w:rPr>
        <w:t xml:space="preserve">mit </w:t>
      </w:r>
      <w:r w:rsidR="000C2D8B">
        <w:rPr>
          <w:b/>
        </w:rPr>
        <w:t xml:space="preserve">Zentrum </w:t>
      </w:r>
      <w:r>
        <w:rPr>
          <w:b/>
        </w:rPr>
        <w:t>für Nierentransplantation</w:t>
      </w:r>
      <w:r w:rsidR="000C2D8B">
        <w:rPr>
          <w:b/>
        </w:rPr>
        <w:t xml:space="preserve"> DGfN</w:t>
      </w:r>
    </w:p>
    <w:p w14:paraId="59EE6EAD" w14:textId="77777777" w:rsidR="005D0020" w:rsidRPr="00F20D20" w:rsidRDefault="005D0020" w:rsidP="00A63051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rFonts w:cs="Arial"/>
        </w:rPr>
      </w:pPr>
      <w:r w:rsidRPr="00F20D20">
        <w:t>Vorsitz:</w:t>
      </w:r>
      <w:r w:rsidRPr="00F20D20">
        <w:rPr>
          <w:rFonts w:cs="Arial"/>
        </w:rPr>
        <w:tab/>
      </w:r>
      <w:r w:rsidRPr="00F20D20">
        <w:rPr>
          <w:rFonts w:cs="Arial"/>
        </w:rPr>
        <w:tab/>
        <w:t xml:space="preserve">Prof. Dr. med. Bernhard </w:t>
      </w:r>
      <w:proofErr w:type="gramStart"/>
      <w:r w:rsidRPr="00F20D20">
        <w:rPr>
          <w:rFonts w:cs="Arial"/>
        </w:rPr>
        <w:t>Krämer  (</w:t>
      </w:r>
      <w:proofErr w:type="gramEnd"/>
      <w:r w:rsidRPr="00F20D20">
        <w:rPr>
          <w:rFonts w:cs="Arial"/>
        </w:rPr>
        <w:t>Mannheim)</w:t>
      </w:r>
    </w:p>
    <w:p w14:paraId="2B18D4F7" w14:textId="77777777" w:rsidR="005D0020" w:rsidRPr="00F20D20" w:rsidRDefault="005D0020" w:rsidP="00167928">
      <w:pPr>
        <w:rPr>
          <w:noProof/>
        </w:rPr>
      </w:pPr>
      <w:r w:rsidRPr="00F20D20">
        <w:t>Kommissionsmitglieder:</w:t>
      </w:r>
      <w:r w:rsidRPr="00F20D20">
        <w:tab/>
      </w:r>
      <w:r w:rsidRPr="00F20D20">
        <w:tab/>
      </w:r>
      <w:r w:rsidRPr="00F20D20">
        <w:rPr>
          <w:noProof/>
        </w:rPr>
        <w:t>Prof. Dr. med. Reinhard Brunkhorst  (Hannover)</w:t>
      </w:r>
    </w:p>
    <w:p w14:paraId="72AED3B4" w14:textId="77777777" w:rsidR="005D0020" w:rsidRPr="00F20D20" w:rsidRDefault="005D0020" w:rsidP="00167928">
      <w:r w:rsidRPr="00F20D20">
        <w:tab/>
      </w:r>
      <w:r w:rsidRPr="00F20D20">
        <w:tab/>
      </w:r>
      <w:r w:rsidRPr="00F20D20">
        <w:tab/>
      </w:r>
      <w:r w:rsidRPr="00F20D20">
        <w:tab/>
        <w:t xml:space="preserve">Prof. Dr. med. Jürgen </w:t>
      </w:r>
      <w:proofErr w:type="spellStart"/>
      <w:proofErr w:type="gramStart"/>
      <w:r w:rsidRPr="00F20D20">
        <w:t>Floege</w:t>
      </w:r>
      <w:proofErr w:type="spellEnd"/>
      <w:r w:rsidRPr="00F20D20">
        <w:t xml:space="preserve">  (</w:t>
      </w:r>
      <w:proofErr w:type="gramEnd"/>
      <w:r w:rsidRPr="00F20D20">
        <w:t>Aachen)</w:t>
      </w:r>
    </w:p>
    <w:p w14:paraId="37FCA7A3" w14:textId="77777777" w:rsidR="005D0020" w:rsidRPr="00F20D20" w:rsidRDefault="005D0020" w:rsidP="00167928">
      <w:r w:rsidRPr="00F20D20">
        <w:tab/>
      </w:r>
      <w:r w:rsidRPr="00F20D20">
        <w:tab/>
      </w:r>
      <w:r w:rsidRPr="00F20D20">
        <w:tab/>
      </w:r>
      <w:r w:rsidRPr="00F20D20">
        <w:tab/>
        <w:t xml:space="preserve">Prof. Dr. med. Hermann </w:t>
      </w:r>
      <w:proofErr w:type="gramStart"/>
      <w:r w:rsidRPr="00F20D20">
        <w:t>Haller  (</w:t>
      </w:r>
      <w:proofErr w:type="gramEnd"/>
      <w:r w:rsidRPr="00F20D20">
        <w:t>Hannover)</w:t>
      </w:r>
    </w:p>
    <w:p w14:paraId="72B7ECCE" w14:textId="77777777" w:rsidR="005D0020" w:rsidRPr="00F20D20" w:rsidRDefault="005D0020" w:rsidP="00167928">
      <w:r w:rsidRPr="00F20D20">
        <w:tab/>
      </w:r>
      <w:r w:rsidRPr="00F20D20">
        <w:tab/>
      </w:r>
      <w:r w:rsidRPr="00F20D20">
        <w:tab/>
      </w:r>
      <w:r w:rsidRPr="00F20D20">
        <w:tab/>
        <w:t xml:space="preserve">Prof. Dr. med. Marion </w:t>
      </w:r>
      <w:proofErr w:type="spellStart"/>
      <w:proofErr w:type="gramStart"/>
      <w:r w:rsidRPr="00F20D20">
        <w:t>Haubitz</w:t>
      </w:r>
      <w:proofErr w:type="spellEnd"/>
      <w:r w:rsidRPr="00F20D20">
        <w:t xml:space="preserve">  (</w:t>
      </w:r>
      <w:proofErr w:type="gramEnd"/>
      <w:r w:rsidRPr="00F20D20">
        <w:t>Fulda)</w:t>
      </w:r>
    </w:p>
    <w:p w14:paraId="15049DD0" w14:textId="77777777" w:rsidR="005D0020" w:rsidRPr="00F20D20" w:rsidRDefault="005D0020" w:rsidP="00167928">
      <w:r w:rsidRPr="00F20D20">
        <w:tab/>
      </w:r>
      <w:r w:rsidRPr="00F20D20">
        <w:tab/>
      </w:r>
      <w:r w:rsidRPr="00F20D20">
        <w:tab/>
      </w:r>
      <w:r w:rsidRPr="00F20D20">
        <w:tab/>
        <w:t xml:space="preserve">Prof. Dr. med. Gerd </w:t>
      </w:r>
      <w:proofErr w:type="gramStart"/>
      <w:r w:rsidRPr="00F20D20">
        <w:t>Hetzel  (</w:t>
      </w:r>
      <w:proofErr w:type="gramEnd"/>
      <w:r w:rsidRPr="00F20D20">
        <w:t>Düsseldorf)</w:t>
      </w:r>
    </w:p>
    <w:p w14:paraId="6D26FB84" w14:textId="77777777" w:rsidR="005D0020" w:rsidRDefault="005D0020" w:rsidP="00167928">
      <w:r w:rsidRPr="00F20D20">
        <w:tab/>
      </w:r>
      <w:r w:rsidRPr="00F20D20">
        <w:tab/>
      </w:r>
      <w:r w:rsidRPr="00F20D20">
        <w:tab/>
      </w:r>
      <w:r w:rsidRPr="00F20D20">
        <w:tab/>
        <w:t xml:space="preserve">Prof. Dr. med. Ulrich </w:t>
      </w:r>
      <w:proofErr w:type="gramStart"/>
      <w:r w:rsidRPr="00F20D20">
        <w:t>Kunzendorf  (</w:t>
      </w:r>
      <w:proofErr w:type="gramEnd"/>
      <w:r w:rsidRPr="00F20D20">
        <w:t>Kiel)</w:t>
      </w:r>
    </w:p>
    <w:p w14:paraId="0B8BF7AF" w14:textId="77777777" w:rsidR="005D0020" w:rsidRDefault="005D0020" w:rsidP="00167928">
      <w:pPr>
        <w:pStyle w:val="bodytext"/>
        <w:spacing w:before="0" w:beforeAutospacing="0" w:after="0" w:afterAutospacing="0"/>
        <w:rPr>
          <w:rFonts w:ascii="Arial" w:hAnsi="Arial" w:cs="Arial"/>
        </w:rPr>
      </w:pPr>
    </w:p>
    <w:p w14:paraId="13A9AA73" w14:textId="77777777" w:rsidR="005D0020" w:rsidRDefault="005D0020" w:rsidP="00AC0C9E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FCC841" w14:textId="77777777" w:rsidR="005D0020" w:rsidRDefault="005D0020" w:rsidP="00AC0C9E">
      <w:pPr>
        <w:pStyle w:val="bodytext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729B5494" w14:textId="77777777" w:rsidR="005D0020" w:rsidRDefault="005D0020" w:rsidP="00AC0C9E">
      <w:pPr>
        <w:pStyle w:val="bodytext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4C08B26B" w14:textId="77777777" w:rsidR="005D0020" w:rsidRDefault="005D0020" w:rsidP="00AC0C9E">
      <w:pPr>
        <w:pStyle w:val="bodytext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04B18812" w14:textId="77777777" w:rsidR="005D0020" w:rsidRDefault="005D0020" w:rsidP="00AC0C9E">
      <w:pPr>
        <w:pStyle w:val="Kopfzeile"/>
        <w:tabs>
          <w:tab w:val="clear" w:pos="4536"/>
          <w:tab w:val="clear" w:pos="9072"/>
          <w:tab w:val="left" w:pos="3578"/>
        </w:tabs>
      </w:pPr>
    </w:p>
    <w:p w14:paraId="6EDAC08C" w14:textId="18B278A4" w:rsidR="005D0020" w:rsidRPr="00C44A9E" w:rsidRDefault="00864147" w:rsidP="00A52213">
      <w:pPr>
        <w:outlineLvl w:val="0"/>
      </w:pPr>
      <w:r w:rsidRPr="00B54E4A">
        <w:t>Präsident DGfN:</w:t>
      </w:r>
      <w:r w:rsidRPr="00B54E4A">
        <w:tab/>
      </w:r>
      <w:r>
        <w:tab/>
      </w:r>
      <w:r w:rsidR="00A52213">
        <w:t>Prof. Dr. med. Hermann Pavenstädt</w:t>
      </w:r>
      <w:r w:rsidR="00A52213" w:rsidDel="00A52213">
        <w:t xml:space="preserve"> </w:t>
      </w:r>
      <w:r w:rsidR="005D0020">
        <w:rPr>
          <w:b/>
        </w:rPr>
        <w:br w:type="page"/>
      </w:r>
    </w:p>
    <w:p w14:paraId="5919BE95" w14:textId="77777777" w:rsidR="005D0020" w:rsidRPr="00230933" w:rsidRDefault="005D0020" w:rsidP="00382FCF"/>
    <w:p w14:paraId="4BB1408E" w14:textId="77777777" w:rsidR="005D0020" w:rsidRDefault="005D0020" w:rsidP="00382FCF">
      <w:pPr>
        <w:rPr>
          <w:b/>
        </w:rPr>
      </w:pPr>
      <w:r>
        <w:rPr>
          <w:b/>
        </w:rPr>
        <w:t>Präambel</w:t>
      </w:r>
    </w:p>
    <w:p w14:paraId="6A066D09" w14:textId="77777777" w:rsidR="005D0020" w:rsidRPr="0074538E" w:rsidRDefault="005D0020" w:rsidP="00167928">
      <w:pPr>
        <w:spacing w:line="276" w:lineRule="auto"/>
      </w:pPr>
    </w:p>
    <w:p w14:paraId="1391F03A" w14:textId="77777777" w:rsidR="005D0020" w:rsidRDefault="005D0020" w:rsidP="00167928">
      <w:pPr>
        <w:spacing w:line="276" w:lineRule="auto"/>
        <w:jc w:val="both"/>
      </w:pPr>
      <w:r w:rsidRPr="006A263E">
        <w:t xml:space="preserve">Von der Deutschen Gesellschaft für Nephrologie (DGfN) wurde ein System zur Erweiterung einer Nephrologischen Schwerpunktklinik </w:t>
      </w:r>
      <w:r w:rsidR="00134F5A">
        <w:t xml:space="preserve">DGfN </w:t>
      </w:r>
      <w:r w:rsidRPr="006A263E">
        <w:t xml:space="preserve">um </w:t>
      </w:r>
      <w:r w:rsidR="00134F5A">
        <w:t>das Modul</w:t>
      </w:r>
      <w:r w:rsidRPr="006A263E">
        <w:t xml:space="preserve"> „</w:t>
      </w:r>
      <w:r w:rsidR="00F1105E" w:rsidRPr="00E7467A">
        <w:t>Zentrum für Nierentransplantation DGfN</w:t>
      </w:r>
      <w:r w:rsidR="00F1105E">
        <w:t>“</w:t>
      </w:r>
      <w:r w:rsidRPr="006A263E">
        <w:t xml:space="preserve"> entwickelt und eingeführt. Die Hauptzielsetzung des Zertifizierungssystems ist die Verbesserung der Struktur-, Prozess- und Ergebnisqualität in Nephrologischen Schwerpunktkliniken </w:t>
      </w:r>
      <w:r w:rsidR="00134F5A">
        <w:t xml:space="preserve">DGfN </w:t>
      </w:r>
      <w:r w:rsidRPr="006A263E">
        <w:t xml:space="preserve">mit </w:t>
      </w:r>
      <w:r w:rsidR="00F1105E" w:rsidRPr="001E27BB">
        <w:t>Zentrum für Nierentransplantation DGfN</w:t>
      </w:r>
    </w:p>
    <w:p w14:paraId="60B9A182" w14:textId="77777777" w:rsidR="005D0020" w:rsidRDefault="005D0020" w:rsidP="00167928">
      <w:pPr>
        <w:spacing w:line="276" w:lineRule="auto"/>
        <w:jc w:val="both"/>
      </w:pPr>
    </w:p>
    <w:p w14:paraId="4C75DA28" w14:textId="77777777" w:rsidR="005D0020" w:rsidRPr="00493EE3" w:rsidRDefault="005D0020" w:rsidP="00167928">
      <w:pPr>
        <w:spacing w:after="60" w:line="276" w:lineRule="auto"/>
      </w:pPr>
      <w:r w:rsidRPr="00493EE3">
        <w:t xml:space="preserve">Der Erhebungsbogen </w:t>
      </w:r>
      <w:r>
        <w:t xml:space="preserve">stellt ein Addendum zum Erhebungsbogen der Nephrologischen Schwerpunktkliniken </w:t>
      </w:r>
      <w:r w:rsidR="00134F5A">
        <w:t xml:space="preserve">DGfN </w:t>
      </w:r>
      <w:r>
        <w:t>dar. Die Zertifizierung als Nephrologische Schwerpunktklinik</w:t>
      </w:r>
      <w:r w:rsidR="00134F5A">
        <w:t xml:space="preserve"> DGfN</w:t>
      </w:r>
      <w:r>
        <w:t xml:space="preserve"> ist Voraussetzung für die Erweiterung </w:t>
      </w:r>
      <w:r w:rsidR="00134F5A">
        <w:t>um das Modul</w:t>
      </w:r>
      <w:r>
        <w:t xml:space="preserve"> </w:t>
      </w:r>
      <w:r w:rsidR="00F1105E" w:rsidRPr="006A263E">
        <w:t>„</w:t>
      </w:r>
      <w:r w:rsidR="00F1105E" w:rsidRPr="001E27BB">
        <w:t>Zentrum für Nierentransplantation DGfN</w:t>
      </w:r>
      <w:r>
        <w:t>“.</w:t>
      </w:r>
    </w:p>
    <w:p w14:paraId="603F19E1" w14:textId="77777777" w:rsidR="005D0020" w:rsidRDefault="005D0020" w:rsidP="00167928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</w:p>
    <w:p w14:paraId="6FD0B569" w14:textId="77777777" w:rsidR="005D0020" w:rsidRDefault="005D0020" w:rsidP="00167928">
      <w:pPr>
        <w:pStyle w:val="Kopfzeile"/>
        <w:tabs>
          <w:tab w:val="clear" w:pos="4536"/>
          <w:tab w:val="clear" w:pos="9072"/>
        </w:tabs>
        <w:spacing w:line="276" w:lineRule="auto"/>
        <w:rPr>
          <w:b/>
        </w:rPr>
      </w:pPr>
    </w:p>
    <w:p w14:paraId="34CC73D5" w14:textId="77777777" w:rsidR="005D0020" w:rsidRDefault="005D0020">
      <w:pPr>
        <w:rPr>
          <w:rFonts w:cs="Times New Roman"/>
        </w:rPr>
      </w:pPr>
      <w:r>
        <w:br w:type="page"/>
      </w:r>
    </w:p>
    <w:p w14:paraId="2284816E" w14:textId="77777777" w:rsidR="005D0020" w:rsidRPr="00C44A9E" w:rsidRDefault="005D0020" w:rsidP="00AC0C9E">
      <w:pPr>
        <w:pStyle w:val="Kopfzeile"/>
        <w:tabs>
          <w:tab w:val="clear" w:pos="4536"/>
          <w:tab w:val="clear" w:pos="9072"/>
        </w:tabs>
      </w:pPr>
    </w:p>
    <w:p w14:paraId="506624A3" w14:textId="77777777" w:rsidR="005D0020" w:rsidRPr="00B54E4A" w:rsidRDefault="005D0020" w:rsidP="00AC0C9E">
      <w:pPr>
        <w:pStyle w:val="Kopfzeile"/>
        <w:tabs>
          <w:tab w:val="clear" w:pos="4536"/>
          <w:tab w:val="clear" w:pos="9072"/>
        </w:tabs>
      </w:pPr>
      <w:r>
        <w:rPr>
          <w:b/>
        </w:rPr>
        <w:t>Strukturangaben</w:t>
      </w:r>
    </w:p>
    <w:p w14:paraId="79986C95" w14:textId="77777777" w:rsidR="005D0020" w:rsidRPr="00B54E4A" w:rsidRDefault="005D0020" w:rsidP="00AC0C9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5D0020" w:rsidRPr="00B54E4A" w14:paraId="75954251" w14:textId="77777777" w:rsidTr="001502B7">
        <w:tc>
          <w:tcPr>
            <w:tcW w:w="3898" w:type="dxa"/>
          </w:tcPr>
          <w:p w14:paraId="678A9B7E" w14:textId="77777777" w:rsidR="005D0020" w:rsidRPr="0049424C" w:rsidRDefault="005D0020" w:rsidP="0028191E">
            <w:pPr>
              <w:spacing w:before="240"/>
              <w:rPr>
                <w:b/>
                <w:bCs/>
              </w:rPr>
            </w:pPr>
            <w:r w:rsidRPr="0049424C">
              <w:t>Nephrologische Schwerpunktklinik</w:t>
            </w:r>
            <w:r w:rsidR="00134F5A">
              <w:t xml:space="preserve"> DGfN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B7C2B48" w14:textId="77777777" w:rsidR="005D0020" w:rsidRPr="00B54E4A" w:rsidRDefault="005D0020" w:rsidP="0028191E">
            <w:pPr>
              <w:spacing w:before="240"/>
            </w:pPr>
          </w:p>
        </w:tc>
      </w:tr>
      <w:tr w:rsidR="005D0020" w:rsidRPr="00B54E4A" w14:paraId="4CEFD0B3" w14:textId="77777777" w:rsidTr="001502B7">
        <w:tc>
          <w:tcPr>
            <w:tcW w:w="3898" w:type="dxa"/>
          </w:tcPr>
          <w:p w14:paraId="7A1E2378" w14:textId="1C6DFAAC" w:rsidR="005D0020" w:rsidRPr="0049424C" w:rsidRDefault="005D0020" w:rsidP="0028191E">
            <w:pPr>
              <w:spacing w:before="240"/>
            </w:pPr>
            <w:r w:rsidRPr="0049424C">
              <w:t>Leit</w:t>
            </w:r>
            <w:r w:rsidR="009F3318">
              <w:t>ung</w:t>
            </w:r>
            <w:r w:rsidRPr="0049424C">
              <w:t xml:space="preserve"> de</w:t>
            </w:r>
            <w:r>
              <w:t>r Klinik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3B125" w14:textId="77777777" w:rsidR="005D0020" w:rsidRPr="00B54E4A" w:rsidRDefault="005D0020" w:rsidP="0028191E">
            <w:pPr>
              <w:spacing w:before="240"/>
            </w:pPr>
          </w:p>
        </w:tc>
      </w:tr>
    </w:tbl>
    <w:p w14:paraId="27265166" w14:textId="77777777" w:rsidR="005D0020" w:rsidRDefault="005D0020" w:rsidP="00AC0C9E"/>
    <w:p w14:paraId="040D7EE4" w14:textId="77777777" w:rsidR="005D0020" w:rsidRPr="00B54E4A" w:rsidRDefault="005D0020" w:rsidP="00AC0C9E"/>
    <w:p w14:paraId="14C99339" w14:textId="77777777" w:rsidR="005D0020" w:rsidRPr="00B54E4A" w:rsidRDefault="005D0020" w:rsidP="00AC0C9E"/>
    <w:p w14:paraId="1421B37F" w14:textId="77777777" w:rsidR="005D0020" w:rsidRDefault="005D0020" w:rsidP="00AC0C9E"/>
    <w:p w14:paraId="6BEFD50B" w14:textId="77777777" w:rsidR="005D0020" w:rsidRDefault="005D0020" w:rsidP="00AC0C9E"/>
    <w:p w14:paraId="6ACCF2E4" w14:textId="77777777" w:rsidR="005D0020" w:rsidRDefault="005D0020" w:rsidP="00AC0C9E"/>
    <w:p w14:paraId="538F043F" w14:textId="77777777" w:rsidR="005D0020" w:rsidRPr="00311C47" w:rsidRDefault="005D0020" w:rsidP="00AC0C9E"/>
    <w:p w14:paraId="30A2C2A0" w14:textId="77777777" w:rsidR="005D0020" w:rsidRPr="00311C47" w:rsidRDefault="005D0020" w:rsidP="00AC0C9E">
      <w:pPr>
        <w:rPr>
          <w:b/>
        </w:rPr>
      </w:pPr>
      <w:r w:rsidRPr="00311C47">
        <w:rPr>
          <w:b/>
        </w:rPr>
        <w:t>Erstellung /Aktualisierung</w:t>
      </w:r>
    </w:p>
    <w:p w14:paraId="6F113084" w14:textId="77777777" w:rsidR="005D0020" w:rsidRPr="00311C47" w:rsidRDefault="005D0020" w:rsidP="00AC0C9E"/>
    <w:p w14:paraId="017F213B" w14:textId="77777777" w:rsidR="005D0020" w:rsidRPr="00311C47" w:rsidRDefault="005D0020" w:rsidP="00AC0C9E">
      <w:r w:rsidRPr="00311C47">
        <w:t>Der elektronisch erstellte Erhebungsbogen dient als Grundlage für die Zertifizierung. Die hier gemachten Angaben wurden hinsichtlich Korrektheit und Vollständig</w:t>
      </w:r>
      <w:r>
        <w:t>keit überprüft.</w:t>
      </w:r>
    </w:p>
    <w:p w14:paraId="052A8FDB" w14:textId="77777777" w:rsidR="005D0020" w:rsidRPr="00311C47" w:rsidRDefault="005D0020" w:rsidP="00AC0C9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1843"/>
      </w:tblGrid>
      <w:tr w:rsidR="005D0020" w:rsidRPr="00311C47" w14:paraId="7A8D2ED2" w14:textId="77777777">
        <w:tc>
          <w:tcPr>
            <w:tcW w:w="7196" w:type="dxa"/>
            <w:tcBorders>
              <w:right w:val="single" w:sz="4" w:space="0" w:color="auto"/>
            </w:tcBorders>
          </w:tcPr>
          <w:p w14:paraId="4CDD799C" w14:textId="77777777" w:rsidR="005D0020" w:rsidRPr="00311C47" w:rsidRDefault="005D0020" w:rsidP="00707DA8">
            <w:pPr>
              <w:spacing w:before="60" w:after="60"/>
            </w:pPr>
            <w:r w:rsidRPr="00311C47">
              <w:t xml:space="preserve">Die </w:t>
            </w:r>
            <w:r>
              <w:t xml:space="preserve">erhobenen </w:t>
            </w:r>
            <w:r w:rsidRPr="00311C47">
              <w:t>Daten beziehen sich auf das Kalender</w:t>
            </w:r>
            <w:r>
              <w:t>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BB8" w14:textId="77777777" w:rsidR="005D0020" w:rsidRPr="00311C47" w:rsidRDefault="005D0020" w:rsidP="00707DA8">
            <w:pPr>
              <w:spacing w:before="60" w:after="60"/>
              <w:jc w:val="center"/>
            </w:pPr>
          </w:p>
        </w:tc>
      </w:tr>
    </w:tbl>
    <w:p w14:paraId="154A2D98" w14:textId="77777777" w:rsidR="005D0020" w:rsidRPr="00311C47" w:rsidRDefault="005D0020" w:rsidP="00AC0C9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1843"/>
      </w:tblGrid>
      <w:tr w:rsidR="005D0020" w:rsidRPr="00311C47" w14:paraId="357F3B85" w14:textId="77777777">
        <w:tc>
          <w:tcPr>
            <w:tcW w:w="7196" w:type="dxa"/>
            <w:tcBorders>
              <w:right w:val="single" w:sz="4" w:space="0" w:color="auto"/>
            </w:tcBorders>
          </w:tcPr>
          <w:p w14:paraId="59C3EB12" w14:textId="77777777" w:rsidR="005D0020" w:rsidRPr="00311C47" w:rsidRDefault="005D0020" w:rsidP="00707DA8">
            <w:pPr>
              <w:spacing w:before="60" w:after="60"/>
            </w:pPr>
            <w:r w:rsidRPr="00311C47">
              <w:t>Erstellung-/Aktualisierungsdatum des Erhebungsbogens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CFC" w14:textId="77777777" w:rsidR="005D0020" w:rsidRPr="00311C47" w:rsidRDefault="005D0020" w:rsidP="00707DA8">
            <w:pPr>
              <w:spacing w:before="60" w:after="60"/>
              <w:jc w:val="center"/>
            </w:pPr>
          </w:p>
        </w:tc>
      </w:tr>
    </w:tbl>
    <w:p w14:paraId="6D1B2D56" w14:textId="04B7DACD" w:rsidR="005D0020" w:rsidRDefault="005D0020" w:rsidP="00AC0C9E"/>
    <w:p w14:paraId="1C51A212" w14:textId="02C35DD7" w:rsidR="00A52213" w:rsidRDefault="00A52213" w:rsidP="00AC0C9E"/>
    <w:p w14:paraId="6FD96480" w14:textId="1299C7F3" w:rsidR="00A52213" w:rsidRPr="008E05E3" w:rsidRDefault="00A52213" w:rsidP="00A52213">
      <w:bookmarkStart w:id="0" w:name="_Hlk89427653"/>
      <w:r>
        <w:t>Bei Audits, deren Durchführung bis zum 30.06.</w:t>
      </w:r>
      <w:r w:rsidRPr="008E05E3">
        <w:t xml:space="preserve"> </w:t>
      </w:r>
      <w:r>
        <w:t>geplant ist</w:t>
      </w:r>
      <w:r w:rsidRPr="008E05E3">
        <w:t xml:space="preserve">, können die Daten </w:t>
      </w:r>
      <w:r w:rsidR="00F1084F">
        <w:t>des</w:t>
      </w:r>
      <w:r w:rsidRPr="008E05E3">
        <w:t xml:space="preserve"> letzten oder </w:t>
      </w:r>
      <w:r w:rsidR="00F1084F">
        <w:t>des</w:t>
      </w:r>
      <w:r w:rsidRPr="008E05E3">
        <w:t xml:space="preserve"> vorvorherigen Jahr</w:t>
      </w:r>
      <w:r w:rsidR="00F1084F">
        <w:t>es</w:t>
      </w:r>
      <w:r w:rsidRPr="008E05E3">
        <w:t xml:space="preserve"> verwendet werden.</w:t>
      </w:r>
      <w:r>
        <w:t xml:space="preserve"> Bei Audits, deren Durchführung nach dem 30.06.</w:t>
      </w:r>
      <w:r w:rsidRPr="008E05E3">
        <w:t xml:space="preserve"> </w:t>
      </w:r>
      <w:r>
        <w:t>geplant ist</w:t>
      </w:r>
      <w:r w:rsidRPr="008E05E3">
        <w:t>, müssen die Zahlen de</w:t>
      </w:r>
      <w:r w:rsidR="00F1084F">
        <w:t>s</w:t>
      </w:r>
      <w:r w:rsidRPr="008E05E3">
        <w:t xml:space="preserve"> letzten Kalenderjahr</w:t>
      </w:r>
      <w:r w:rsidR="00F1084F">
        <w:t>es</w:t>
      </w:r>
      <w:r w:rsidRPr="008E05E3">
        <w:t xml:space="preserve"> eingereicht werden.</w:t>
      </w:r>
    </w:p>
    <w:bookmarkEnd w:id="0"/>
    <w:p w14:paraId="1BF3B7A8" w14:textId="77777777" w:rsidR="00A52213" w:rsidRPr="00B54E4A" w:rsidRDefault="00A52213" w:rsidP="00AC0C9E"/>
    <w:p w14:paraId="46A73C25" w14:textId="77777777" w:rsidR="005D0020" w:rsidRDefault="005D0020" w:rsidP="00AC0C9E"/>
    <w:p w14:paraId="18BB33AE" w14:textId="77777777" w:rsidR="005D0020" w:rsidRDefault="005D0020" w:rsidP="00AC0C9E"/>
    <w:p w14:paraId="60BA64B0" w14:textId="77777777" w:rsidR="005D0020" w:rsidRDefault="005D0020" w:rsidP="00AC0C9E"/>
    <w:p w14:paraId="69B5A2E7" w14:textId="77777777" w:rsidR="005D0020" w:rsidRDefault="005D0020" w:rsidP="00AC0C9E"/>
    <w:p w14:paraId="7837787E" w14:textId="77777777" w:rsidR="005D0020" w:rsidRPr="00B54E4A" w:rsidRDefault="005D0020" w:rsidP="00AC0C9E"/>
    <w:p w14:paraId="03166E4A" w14:textId="77777777" w:rsidR="005D0020" w:rsidRDefault="005D0020" w:rsidP="00AC0C9E">
      <w:pPr>
        <w:rPr>
          <w:b/>
        </w:rPr>
      </w:pPr>
    </w:p>
    <w:p w14:paraId="0E91D1BF" w14:textId="77777777" w:rsidR="005D0020" w:rsidRPr="00B54E4A" w:rsidRDefault="005D0020" w:rsidP="00AC0C9E">
      <w:pPr>
        <w:rPr>
          <w:b/>
        </w:rPr>
      </w:pPr>
      <w:r>
        <w:rPr>
          <w:b/>
        </w:rPr>
        <w:t>Inhaltsverzeichnis</w:t>
      </w:r>
    </w:p>
    <w:p w14:paraId="0B283D19" w14:textId="77777777" w:rsidR="005D0020" w:rsidRPr="00D569DA" w:rsidRDefault="005D0020" w:rsidP="00AC0C9E"/>
    <w:p w14:paraId="21BC8EBF" w14:textId="20039893" w:rsidR="005D0020" w:rsidRPr="00D569DA" w:rsidRDefault="005D0020">
      <w:pPr>
        <w:pStyle w:val="Verzeichnis1"/>
        <w:rPr>
          <w:noProof/>
          <w:sz w:val="22"/>
          <w:szCs w:val="22"/>
          <w:lang w:eastAsia="de-DE"/>
        </w:rPr>
      </w:pPr>
      <w:r w:rsidRPr="00D569DA">
        <w:fldChar w:fldCharType="begin"/>
      </w:r>
      <w:r w:rsidRPr="00D569DA">
        <w:instrText xml:space="preserve"> TOC \o "1-1" \h \z \u </w:instrText>
      </w:r>
      <w:r w:rsidRPr="00D569DA">
        <w:fldChar w:fldCharType="separate"/>
      </w:r>
      <w:hyperlink w:anchor="_Toc364770136" w:history="1">
        <w:r w:rsidRPr="00D569DA">
          <w:rPr>
            <w:rStyle w:val="Hyperlink"/>
            <w:rFonts w:ascii="Arial" w:hAnsi="Arial" w:cs="Arial"/>
            <w:noProof/>
          </w:rPr>
          <w:t>1.</w:t>
        </w:r>
        <w:r w:rsidRPr="00D569DA">
          <w:rPr>
            <w:noProof/>
            <w:sz w:val="22"/>
            <w:szCs w:val="22"/>
            <w:lang w:eastAsia="de-DE"/>
          </w:rPr>
          <w:tab/>
        </w:r>
        <w:r w:rsidRPr="00D569DA">
          <w:rPr>
            <w:rStyle w:val="Hyperlink"/>
            <w:rFonts w:ascii="Arial" w:hAnsi="Arial" w:cs="Arial"/>
            <w:noProof/>
          </w:rPr>
          <w:t>Strukturelle Anforderungen</w:t>
        </w:r>
        <w:r w:rsidRPr="00D569DA">
          <w:rPr>
            <w:noProof/>
            <w:webHidden/>
          </w:rPr>
          <w:tab/>
        </w:r>
        <w:r w:rsidRPr="00D569DA">
          <w:rPr>
            <w:noProof/>
            <w:webHidden/>
          </w:rPr>
          <w:fldChar w:fldCharType="begin"/>
        </w:r>
        <w:r w:rsidRPr="00D569DA">
          <w:rPr>
            <w:noProof/>
            <w:webHidden/>
          </w:rPr>
          <w:instrText xml:space="preserve"> PAGEREF _Toc364770136 \h </w:instrText>
        </w:r>
        <w:r w:rsidRPr="00D569DA">
          <w:rPr>
            <w:noProof/>
            <w:webHidden/>
          </w:rPr>
        </w:r>
        <w:r w:rsidRPr="00D569DA">
          <w:rPr>
            <w:noProof/>
            <w:webHidden/>
          </w:rPr>
          <w:fldChar w:fldCharType="separate"/>
        </w:r>
        <w:r w:rsidR="001033D2">
          <w:rPr>
            <w:noProof/>
            <w:webHidden/>
          </w:rPr>
          <w:t>4</w:t>
        </w:r>
        <w:r w:rsidRPr="00D569DA">
          <w:rPr>
            <w:noProof/>
            <w:webHidden/>
          </w:rPr>
          <w:fldChar w:fldCharType="end"/>
        </w:r>
      </w:hyperlink>
    </w:p>
    <w:p w14:paraId="59BD04BC" w14:textId="7A8225BC" w:rsidR="005D0020" w:rsidRPr="00D569DA" w:rsidRDefault="001033D2">
      <w:pPr>
        <w:pStyle w:val="Verzeichnis1"/>
        <w:rPr>
          <w:noProof/>
          <w:sz w:val="22"/>
          <w:szCs w:val="22"/>
          <w:lang w:eastAsia="de-DE"/>
        </w:rPr>
      </w:pPr>
      <w:hyperlink w:anchor="_Toc364770137" w:history="1">
        <w:r w:rsidR="005D0020" w:rsidRPr="00D569DA">
          <w:rPr>
            <w:rStyle w:val="Hyperlink"/>
            <w:rFonts w:ascii="Arial" w:hAnsi="Arial" w:cs="Arial"/>
            <w:noProof/>
          </w:rPr>
          <w:t>2.</w:t>
        </w:r>
        <w:r w:rsidR="005D0020" w:rsidRPr="00D569DA">
          <w:rPr>
            <w:noProof/>
            <w:sz w:val="22"/>
            <w:szCs w:val="22"/>
            <w:lang w:eastAsia="de-DE"/>
          </w:rPr>
          <w:tab/>
        </w:r>
        <w:r w:rsidR="005D0020" w:rsidRPr="00D569DA">
          <w:rPr>
            <w:rStyle w:val="Hyperlink"/>
            <w:rFonts w:ascii="Arial" w:hAnsi="Arial" w:cs="Arial"/>
            <w:noProof/>
          </w:rPr>
          <w:t>Prozessuale Anforderungen</w:t>
        </w:r>
        <w:r w:rsidR="005D0020" w:rsidRPr="00D569DA">
          <w:rPr>
            <w:noProof/>
            <w:webHidden/>
          </w:rPr>
          <w:tab/>
        </w:r>
        <w:r w:rsidR="005D0020" w:rsidRPr="00D569DA">
          <w:rPr>
            <w:noProof/>
            <w:webHidden/>
          </w:rPr>
          <w:fldChar w:fldCharType="begin"/>
        </w:r>
        <w:r w:rsidR="005D0020" w:rsidRPr="00D569DA">
          <w:rPr>
            <w:noProof/>
            <w:webHidden/>
          </w:rPr>
          <w:instrText xml:space="preserve"> PAGEREF _Toc364770137 \h </w:instrText>
        </w:r>
        <w:r w:rsidR="005D0020" w:rsidRPr="00D569DA">
          <w:rPr>
            <w:noProof/>
            <w:webHidden/>
          </w:rPr>
        </w:r>
        <w:r w:rsidR="005D0020" w:rsidRPr="00D569D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D0020" w:rsidRPr="00D569DA">
          <w:rPr>
            <w:noProof/>
            <w:webHidden/>
          </w:rPr>
          <w:fldChar w:fldCharType="end"/>
        </w:r>
      </w:hyperlink>
    </w:p>
    <w:p w14:paraId="436B87D9" w14:textId="5FC4620C" w:rsidR="005D0020" w:rsidRPr="00D569DA" w:rsidRDefault="001033D2">
      <w:pPr>
        <w:pStyle w:val="Verzeichnis1"/>
        <w:rPr>
          <w:noProof/>
          <w:sz w:val="22"/>
          <w:szCs w:val="22"/>
          <w:lang w:eastAsia="de-DE"/>
        </w:rPr>
      </w:pPr>
      <w:hyperlink w:anchor="_Toc364770138" w:history="1">
        <w:r w:rsidR="005D0020" w:rsidRPr="00D569DA">
          <w:rPr>
            <w:rStyle w:val="Hyperlink"/>
            <w:rFonts w:ascii="Arial" w:hAnsi="Arial" w:cs="Arial"/>
            <w:noProof/>
          </w:rPr>
          <w:t>3.</w:t>
        </w:r>
        <w:r w:rsidR="005D0020" w:rsidRPr="00D569DA">
          <w:rPr>
            <w:noProof/>
            <w:sz w:val="22"/>
            <w:szCs w:val="22"/>
            <w:lang w:eastAsia="de-DE"/>
          </w:rPr>
          <w:tab/>
        </w:r>
        <w:r w:rsidR="005D0020" w:rsidRPr="00D569DA">
          <w:rPr>
            <w:rStyle w:val="Hyperlink"/>
            <w:rFonts w:ascii="Arial" w:hAnsi="Arial" w:cs="Arial"/>
            <w:noProof/>
          </w:rPr>
          <w:t>Ergebnisqualitative Anforderungen</w:t>
        </w:r>
        <w:r w:rsidR="005D0020" w:rsidRPr="00D569DA">
          <w:rPr>
            <w:noProof/>
            <w:webHidden/>
          </w:rPr>
          <w:tab/>
        </w:r>
        <w:r w:rsidR="005D0020" w:rsidRPr="00D569DA">
          <w:rPr>
            <w:noProof/>
            <w:webHidden/>
          </w:rPr>
          <w:fldChar w:fldCharType="begin"/>
        </w:r>
        <w:r w:rsidR="005D0020" w:rsidRPr="00D569DA">
          <w:rPr>
            <w:noProof/>
            <w:webHidden/>
          </w:rPr>
          <w:instrText xml:space="preserve"> PAGEREF _Toc364770138 \h </w:instrText>
        </w:r>
        <w:r w:rsidR="005D0020" w:rsidRPr="00D569DA">
          <w:rPr>
            <w:noProof/>
            <w:webHidden/>
          </w:rPr>
        </w:r>
        <w:r w:rsidR="005D0020" w:rsidRPr="00D569D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D0020" w:rsidRPr="00D569DA">
          <w:rPr>
            <w:noProof/>
            <w:webHidden/>
          </w:rPr>
          <w:fldChar w:fldCharType="end"/>
        </w:r>
      </w:hyperlink>
    </w:p>
    <w:p w14:paraId="0F476AB9" w14:textId="22631B2E" w:rsidR="005D0020" w:rsidRPr="00D569DA" w:rsidRDefault="001033D2">
      <w:pPr>
        <w:pStyle w:val="Verzeichnis1"/>
        <w:rPr>
          <w:noProof/>
          <w:sz w:val="22"/>
          <w:szCs w:val="22"/>
          <w:lang w:eastAsia="de-DE"/>
        </w:rPr>
      </w:pPr>
      <w:hyperlink w:anchor="_Toc364770139" w:history="1">
        <w:r w:rsidR="005D0020" w:rsidRPr="00D569DA">
          <w:rPr>
            <w:rStyle w:val="Hyperlink"/>
            <w:rFonts w:ascii="Arial" w:hAnsi="Arial" w:cs="Arial"/>
            <w:noProof/>
          </w:rPr>
          <w:t>4.</w:t>
        </w:r>
        <w:r w:rsidR="005D0020" w:rsidRPr="00D569DA">
          <w:rPr>
            <w:noProof/>
            <w:sz w:val="22"/>
            <w:szCs w:val="22"/>
            <w:lang w:eastAsia="de-DE"/>
          </w:rPr>
          <w:tab/>
        </w:r>
        <w:r w:rsidR="005D0020" w:rsidRPr="00D569DA">
          <w:rPr>
            <w:rStyle w:val="Hyperlink"/>
            <w:rFonts w:ascii="Arial" w:hAnsi="Arial" w:cs="Arial"/>
            <w:noProof/>
          </w:rPr>
          <w:t>Kennzahlenbogen</w:t>
        </w:r>
        <w:r w:rsidR="005D0020" w:rsidRPr="00D569DA">
          <w:rPr>
            <w:noProof/>
            <w:webHidden/>
          </w:rPr>
          <w:tab/>
        </w:r>
        <w:r w:rsidR="005D0020" w:rsidRPr="00D569DA">
          <w:rPr>
            <w:noProof/>
            <w:webHidden/>
          </w:rPr>
          <w:fldChar w:fldCharType="begin"/>
        </w:r>
        <w:r w:rsidR="005D0020" w:rsidRPr="00D569DA">
          <w:rPr>
            <w:noProof/>
            <w:webHidden/>
          </w:rPr>
          <w:instrText xml:space="preserve"> PAGEREF _Toc364770139 \h </w:instrText>
        </w:r>
        <w:r w:rsidR="005D0020" w:rsidRPr="00D569DA">
          <w:rPr>
            <w:noProof/>
            <w:webHidden/>
          </w:rPr>
        </w:r>
        <w:r w:rsidR="005D0020" w:rsidRPr="00D569D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D0020" w:rsidRPr="00D569DA">
          <w:rPr>
            <w:noProof/>
            <w:webHidden/>
          </w:rPr>
          <w:fldChar w:fldCharType="end"/>
        </w:r>
      </w:hyperlink>
    </w:p>
    <w:p w14:paraId="41D5FB59" w14:textId="77777777" w:rsidR="005D0020" w:rsidRPr="00D569DA" w:rsidRDefault="005D0020">
      <w:r w:rsidRPr="00D569DA">
        <w:fldChar w:fldCharType="end"/>
      </w:r>
    </w:p>
    <w:p w14:paraId="49184B64" w14:textId="77777777" w:rsidR="005D0020" w:rsidRPr="005D16CD" w:rsidRDefault="005D0020" w:rsidP="00AC0C9E"/>
    <w:p w14:paraId="44110ECC" w14:textId="77777777" w:rsidR="005D0020" w:rsidRPr="005D16CD" w:rsidRDefault="005D0020" w:rsidP="00AC0C9E"/>
    <w:p w14:paraId="5D718F49" w14:textId="77777777" w:rsidR="005D0020" w:rsidRDefault="005D0020" w:rsidP="00AC0C9E"/>
    <w:p w14:paraId="6892C1ED" w14:textId="77777777" w:rsidR="005D0020" w:rsidRPr="00140DBF" w:rsidRDefault="005D0020" w:rsidP="00DB45FF">
      <w:pPr>
        <w:pStyle w:val="berschrift1"/>
      </w:pPr>
      <w:r>
        <w:br w:type="page"/>
      </w:r>
      <w:bookmarkStart w:id="1" w:name="_Toc364770136"/>
      <w:r>
        <w:lastRenderedPageBreak/>
        <w:t>Strukturelle Anforderungen</w:t>
      </w:r>
      <w:bookmarkEnd w:id="1"/>
    </w:p>
    <w:p w14:paraId="61269C34" w14:textId="77777777" w:rsidR="005D0020" w:rsidRPr="00AC0C9E" w:rsidRDefault="005D0020" w:rsidP="00AC0C9E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474"/>
        <w:gridCol w:w="4480"/>
      </w:tblGrid>
      <w:tr w:rsidR="005D0020" w:rsidRPr="00372E9D" w14:paraId="412AC478" w14:textId="77777777" w:rsidTr="001D6EE7">
        <w:trPr>
          <w:cantSplit/>
          <w:tblHeader/>
        </w:trPr>
        <w:tc>
          <w:tcPr>
            <w:tcW w:w="434" w:type="pct"/>
            <w:shd w:val="clear" w:color="auto" w:fill="E0E0E0"/>
          </w:tcPr>
          <w:p w14:paraId="21436171" w14:textId="77777777" w:rsidR="005D0020" w:rsidRPr="00372E9D" w:rsidRDefault="005D0020" w:rsidP="00707DA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 w:rsidRPr="00372E9D">
              <w:rPr>
                <w:rFonts w:cs="Arial"/>
                <w:b/>
              </w:rPr>
              <w:t>Kap.</w:t>
            </w:r>
          </w:p>
        </w:tc>
        <w:tc>
          <w:tcPr>
            <w:tcW w:w="2281" w:type="pct"/>
            <w:shd w:val="clear" w:color="auto" w:fill="E0E0E0"/>
          </w:tcPr>
          <w:p w14:paraId="30FDEAC4" w14:textId="77777777" w:rsidR="005D0020" w:rsidRPr="00372E9D" w:rsidRDefault="005D0020" w:rsidP="00707DA8">
            <w:pPr>
              <w:jc w:val="center"/>
              <w:rPr>
                <w:b/>
              </w:rPr>
            </w:pPr>
            <w:r w:rsidRPr="00372E9D">
              <w:rPr>
                <w:b/>
              </w:rPr>
              <w:t>Anforderungen</w:t>
            </w:r>
            <w:r>
              <w:rPr>
                <w:b/>
              </w:rPr>
              <w:t xml:space="preserve"> und Erhebungen</w:t>
            </w:r>
          </w:p>
        </w:tc>
        <w:tc>
          <w:tcPr>
            <w:tcW w:w="2284" w:type="pct"/>
            <w:shd w:val="clear" w:color="auto" w:fill="E0E0E0"/>
          </w:tcPr>
          <w:p w14:paraId="18243C52" w14:textId="77777777" w:rsidR="005D0020" w:rsidRPr="00372E9D" w:rsidRDefault="005D0020" w:rsidP="009404D7">
            <w:pPr>
              <w:jc w:val="center"/>
              <w:rPr>
                <w:b/>
              </w:rPr>
            </w:pPr>
            <w:r w:rsidRPr="00372E9D">
              <w:rPr>
                <w:b/>
              </w:rPr>
              <w:t xml:space="preserve">Beschreibungen </w:t>
            </w:r>
            <w:r>
              <w:rPr>
                <w:b/>
              </w:rPr>
              <w:t>der Einrichtung</w:t>
            </w:r>
          </w:p>
        </w:tc>
      </w:tr>
      <w:tr w:rsidR="005D0020" w:rsidRPr="00B54E4A" w14:paraId="67146D56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20C00FA7" w14:textId="77777777" w:rsidR="005D0020" w:rsidRPr="00C446BE" w:rsidRDefault="005D0020" w:rsidP="00707DA8">
            <w:r>
              <w:t>1.1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03254E44" w14:textId="77777777" w:rsidR="005D0020" w:rsidRDefault="005D0020" w:rsidP="00844D86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Die Einrichtung muss</w:t>
            </w:r>
            <w:r w:rsidRPr="00844D86">
              <w:rPr>
                <w:rFonts w:cs="Arial"/>
                <w:i w:val="0"/>
              </w:rPr>
              <w:t xml:space="preserve"> nach den Fachlichen Anforderungen der DGfN</w:t>
            </w:r>
            <w:r>
              <w:rPr>
                <w:rFonts w:cs="Arial"/>
                <w:i w:val="0"/>
              </w:rPr>
              <w:t xml:space="preserve"> als Nephrologische Schwerpunktklinik</w:t>
            </w:r>
            <w:r w:rsidR="00134F5A">
              <w:rPr>
                <w:rFonts w:cs="Arial"/>
                <w:i w:val="0"/>
              </w:rPr>
              <w:t xml:space="preserve"> DGfN</w:t>
            </w:r>
            <w:r>
              <w:rPr>
                <w:rFonts w:cs="Arial"/>
                <w:i w:val="0"/>
              </w:rPr>
              <w:t xml:space="preserve"> (NSK) zertifiziert oder </w:t>
            </w:r>
          </w:p>
          <w:p w14:paraId="49383CF3" w14:textId="77777777" w:rsidR="005D0020" w:rsidRDefault="005D0020" w:rsidP="001D6EE7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als universitäre Nephrologische Schwerpunktklinik </w:t>
            </w:r>
            <w:r w:rsidR="00134F5A">
              <w:rPr>
                <w:rFonts w:cs="Arial"/>
                <w:i w:val="0"/>
              </w:rPr>
              <w:t xml:space="preserve">DGfN </w:t>
            </w:r>
            <w:r>
              <w:rPr>
                <w:rFonts w:cs="Arial"/>
                <w:i w:val="0"/>
              </w:rPr>
              <w:t>anerkannt sein.</w:t>
            </w:r>
          </w:p>
          <w:p w14:paraId="0D87239A" w14:textId="77777777" w:rsidR="005D0020" w:rsidRDefault="005D0020" w:rsidP="001D6EE7">
            <w:pPr>
              <w:rPr>
                <w:highlight w:val="yellow"/>
                <w:lang w:eastAsia="de-DE" w:bidi="he-IL"/>
              </w:rPr>
            </w:pPr>
          </w:p>
          <w:p w14:paraId="146D95F4" w14:textId="77777777" w:rsidR="005D0020" w:rsidRPr="00AC14C6" w:rsidRDefault="005D0020" w:rsidP="001D6EE7">
            <w:pPr>
              <w:pStyle w:val="berschrift4"/>
            </w:pPr>
            <w:r w:rsidRPr="00C61FC6">
              <w:t xml:space="preserve">Eine Zertifikatserteilung zur </w:t>
            </w:r>
            <w:r>
              <w:t xml:space="preserve">NSK mit </w:t>
            </w:r>
            <w:r w:rsidR="00F1105E" w:rsidRPr="006A263E">
              <w:t>„</w:t>
            </w:r>
            <w:r w:rsidR="00F1105E" w:rsidRPr="001E27BB">
              <w:rPr>
                <w:rFonts w:cs="Arial"/>
              </w:rPr>
              <w:t>Zentrum für Nierentransplantation DGfN</w:t>
            </w:r>
            <w:r w:rsidR="00134F5A">
              <w:rPr>
                <w:rFonts w:cs="Arial"/>
              </w:rPr>
              <w:t xml:space="preserve"> </w:t>
            </w:r>
            <w:r w:rsidRPr="00C61FC6">
              <w:t xml:space="preserve">ist auch im Rahmen der Erstzertifizierung zur </w:t>
            </w:r>
            <w:r>
              <w:t xml:space="preserve">NSK </w:t>
            </w:r>
            <w:r w:rsidRPr="00C61FC6">
              <w:t xml:space="preserve">möglich. Die Zertifikatserteilung zur </w:t>
            </w:r>
            <w:r>
              <w:t xml:space="preserve">NSK </w:t>
            </w:r>
            <w:r w:rsidRPr="00C61FC6">
              <w:t xml:space="preserve">ist jedoch Voraussetzung für die Zertifikatserteilung </w:t>
            </w:r>
            <w:r w:rsidR="00134F5A">
              <w:t>des Zentrums</w:t>
            </w:r>
            <w:r>
              <w:t xml:space="preserve"> für Nierentransplantation</w:t>
            </w:r>
            <w:r w:rsidR="00134F5A">
              <w:t xml:space="preserve"> DGfN</w:t>
            </w:r>
            <w:r>
              <w:t>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4B1E5E4C" w14:textId="77777777" w:rsidR="005D0020" w:rsidRPr="00F526CC" w:rsidRDefault="005D0020" w:rsidP="00F723EF">
            <w:pPr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12A59AA9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5B37362" w14:textId="77777777" w:rsidR="005D0020" w:rsidRDefault="005D0020" w:rsidP="00707DA8">
            <w:r>
              <w:t>1.2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05E22BD" w14:textId="77777777" w:rsidR="005D0020" w:rsidRPr="00DC1343" w:rsidRDefault="005D0020" w:rsidP="00C1587B">
            <w:pPr>
              <w:pStyle w:val="berschrift4"/>
              <w:rPr>
                <w:rFonts w:cs="Arial"/>
                <w:i w:val="0"/>
              </w:rPr>
            </w:pPr>
            <w:r w:rsidRPr="007358D9">
              <w:rPr>
                <w:rFonts w:cs="Arial"/>
                <w:i w:val="0"/>
              </w:rPr>
              <w:t>Institutionalis</w:t>
            </w:r>
            <w:r>
              <w:rPr>
                <w:rFonts w:cs="Arial"/>
                <w:i w:val="0"/>
              </w:rPr>
              <w:t xml:space="preserve">ierte Zusammenarbeit mit </w:t>
            </w:r>
            <w:proofErr w:type="spellStart"/>
            <w:r>
              <w:rPr>
                <w:rFonts w:cs="Arial"/>
                <w:i w:val="0"/>
              </w:rPr>
              <w:t>Nephrop</w:t>
            </w:r>
            <w:r w:rsidRPr="007358D9">
              <w:rPr>
                <w:rFonts w:cs="Arial"/>
                <w:i w:val="0"/>
              </w:rPr>
              <w:t>athologie</w:t>
            </w:r>
            <w:proofErr w:type="spellEnd"/>
            <w:r w:rsidRPr="007358D9">
              <w:rPr>
                <w:rFonts w:cs="Arial"/>
                <w:i w:val="0"/>
              </w:rPr>
              <w:t>/</w:t>
            </w:r>
            <w:r w:rsidRPr="00BF0989">
              <w:rPr>
                <w:rFonts w:cs="Arial"/>
                <w:i w:val="0"/>
              </w:rPr>
              <w:t>Transplantationspathologie, die sicherstellt, dass die Befundung bei gegebener Indikation innerhalb 48h erfolgt.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56675F9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56CBD14A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28FA1E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1042DE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71E1FCB0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A7D511" w14:textId="77777777" w:rsidR="005D0020" w:rsidRPr="00DC1343" w:rsidRDefault="005D0020" w:rsidP="00DC1343">
            <w:pPr>
              <w:pStyle w:val="EinfacherAbsatz"/>
              <w:spacing w:line="240" w:lineRule="auto"/>
              <w:jc w:val="both"/>
              <w:rPr>
                <w:color w:val="auto"/>
              </w:rPr>
            </w:pPr>
          </w:p>
        </w:tc>
      </w:tr>
      <w:tr w:rsidR="005D0020" w:rsidRPr="00B54E4A" w14:paraId="3E9A29D4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62B02AF" w14:textId="77777777" w:rsidR="005D0020" w:rsidRDefault="005D0020" w:rsidP="00707DA8">
            <w:r>
              <w:t>1.3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B12E3BD" w14:textId="1CBE9998" w:rsidR="005D0020" w:rsidRDefault="005D0020" w:rsidP="00DC1343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Nephrolog</w:t>
            </w:r>
            <w:r w:rsidR="009F3318">
              <w:rPr>
                <w:rFonts w:cs="Arial"/>
                <w:i w:val="0"/>
              </w:rPr>
              <w:t>inn</w:t>
            </w:r>
            <w:r>
              <w:rPr>
                <w:rFonts w:cs="Arial"/>
                <w:i w:val="0"/>
              </w:rPr>
              <w:t>en</w:t>
            </w:r>
            <w:r w:rsidR="009F3318">
              <w:rPr>
                <w:rFonts w:cs="Arial"/>
                <w:i w:val="0"/>
              </w:rPr>
              <w:t xml:space="preserve"> und Nephrologen</w:t>
            </w:r>
            <w:r>
              <w:rPr>
                <w:rFonts w:cs="Arial"/>
                <w:i w:val="0"/>
              </w:rPr>
              <w:t xml:space="preserve"> mit Erfahrung im Bereich der Nierentransplantation</w:t>
            </w:r>
          </w:p>
          <w:p w14:paraId="4EB7C6B7" w14:textId="77777777" w:rsidR="005D0020" w:rsidRDefault="005D0020" w:rsidP="00DC1343">
            <w:pPr>
              <w:rPr>
                <w:lang w:eastAsia="de-DE" w:bidi="he-IL"/>
              </w:rPr>
            </w:pPr>
          </w:p>
          <w:p w14:paraId="7B4F3A76" w14:textId="77777777" w:rsidR="005D0020" w:rsidRDefault="005D0020" w:rsidP="00DC1343">
            <w:pPr>
              <w:rPr>
                <w:lang w:eastAsia="de-DE" w:bidi="he-IL"/>
              </w:rPr>
            </w:pPr>
          </w:p>
          <w:p w14:paraId="2982B4DC" w14:textId="77777777" w:rsidR="005D0020" w:rsidRPr="00F5794A" w:rsidRDefault="005D0020" w:rsidP="00DC1343">
            <w:pPr>
              <w:rPr>
                <w:b/>
                <w:lang w:eastAsia="de-DE" w:bidi="he-IL"/>
              </w:rPr>
            </w:pPr>
          </w:p>
          <w:p w14:paraId="1661164B" w14:textId="77777777" w:rsidR="005D0020" w:rsidRPr="007B34AC" w:rsidRDefault="005D0020" w:rsidP="00DC1343">
            <w:pPr>
              <w:rPr>
                <w:b/>
                <w:lang w:eastAsia="de-DE" w:bidi="he-IL"/>
              </w:rPr>
            </w:pPr>
            <w:r w:rsidRPr="007B34AC">
              <w:rPr>
                <w:b/>
                <w:lang w:eastAsia="de-DE" w:bidi="he-IL"/>
              </w:rPr>
              <w:t xml:space="preserve">Mindestanforderung: </w:t>
            </w:r>
          </w:p>
          <w:p w14:paraId="25A101D5" w14:textId="3224F2B6" w:rsidR="005D0020" w:rsidRPr="00DC1343" w:rsidRDefault="005D0020" w:rsidP="00DC1343">
            <w:pPr>
              <w:rPr>
                <w:lang w:eastAsia="de-DE" w:bidi="he-IL"/>
              </w:rPr>
            </w:pPr>
            <w:r w:rsidRPr="007B34AC">
              <w:rPr>
                <w:lang w:eastAsia="de-DE" w:bidi="he-IL"/>
              </w:rPr>
              <w:t>2 Nephrolog</w:t>
            </w:r>
            <w:r w:rsidR="009F3318">
              <w:rPr>
                <w:lang w:eastAsia="de-DE" w:bidi="he-IL"/>
              </w:rPr>
              <w:t>inn</w:t>
            </w:r>
            <w:r w:rsidRPr="007B34AC">
              <w:rPr>
                <w:lang w:eastAsia="de-DE" w:bidi="he-IL"/>
              </w:rPr>
              <w:t>en</w:t>
            </w:r>
            <w:r w:rsidR="009F3318">
              <w:rPr>
                <w:lang w:eastAsia="de-DE" w:bidi="he-IL"/>
              </w:rPr>
              <w:t>/ Nephrologen</w:t>
            </w:r>
            <w:r w:rsidRPr="007B34AC">
              <w:rPr>
                <w:lang w:eastAsia="de-DE" w:bidi="he-IL"/>
              </w:rPr>
              <w:t xml:space="preserve"> (Facharztstatus) mit jeweils mind. 50 bisher betreuten Nierentransplantationspatienten</w:t>
            </w:r>
            <w:r>
              <w:rPr>
                <w:lang w:eastAsia="de-DE" w:bidi="he-IL"/>
              </w:rPr>
              <w:t xml:space="preserve"> in der </w:t>
            </w:r>
            <w:proofErr w:type="spellStart"/>
            <w:r>
              <w:rPr>
                <w:lang w:eastAsia="de-DE" w:bidi="he-IL"/>
              </w:rPr>
              <w:t>peri</w:t>
            </w:r>
            <w:proofErr w:type="spellEnd"/>
            <w:r>
              <w:rPr>
                <w:lang w:eastAsia="de-DE" w:bidi="he-IL"/>
              </w:rPr>
              <w:t>-transplant Phase</w:t>
            </w:r>
            <w:r w:rsidRPr="007B34AC">
              <w:rPr>
                <w:lang w:eastAsia="de-DE" w:bidi="he-IL"/>
              </w:rPr>
              <w:t>.</w:t>
            </w:r>
            <w:r w:rsidR="00204C31">
              <w:rPr>
                <w:lang w:eastAsia="de-DE" w:bidi="he-IL"/>
              </w:rPr>
              <w:t xml:space="preserve"> </w:t>
            </w:r>
            <w:r w:rsidRPr="00F20D20">
              <w:rPr>
                <w:lang w:eastAsia="de-DE" w:bidi="he-IL"/>
              </w:rPr>
              <w:t>Schätzzahlen sind erlaubt, sofern die Anzahl der betreuten Nierentransplantationspatient</w:t>
            </w:r>
            <w:r w:rsidR="009F3318">
              <w:rPr>
                <w:lang w:eastAsia="de-DE" w:bidi="he-IL"/>
              </w:rPr>
              <w:t>inn</w:t>
            </w:r>
            <w:r w:rsidRPr="00F20D20">
              <w:rPr>
                <w:lang w:eastAsia="de-DE" w:bidi="he-IL"/>
              </w:rPr>
              <w:t>en</w:t>
            </w:r>
            <w:r w:rsidR="009F3318">
              <w:rPr>
                <w:lang w:eastAsia="de-DE" w:bidi="he-IL"/>
              </w:rPr>
              <w:t xml:space="preserve"> und -patienten</w:t>
            </w:r>
            <w:r w:rsidRPr="00F20D20">
              <w:rPr>
                <w:lang w:eastAsia="de-DE" w:bidi="he-IL"/>
              </w:rPr>
              <w:t xml:space="preserve"> 100 übersteigt.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2CCFFFE7" w14:textId="1D999F53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343">
              <w:rPr>
                <w:rFonts w:ascii="Arial" w:hAnsi="Arial" w:cs="Arial"/>
                <w:sz w:val="20"/>
                <w:szCs w:val="20"/>
              </w:rPr>
              <w:t>Namentliche Nennung mit Angabe der Anzahl an betreuten Nierentransplantationspatient</w:t>
            </w:r>
            <w:r w:rsidR="009F3318">
              <w:rPr>
                <w:rFonts w:ascii="Arial" w:hAnsi="Arial" w:cs="Arial"/>
                <w:sz w:val="20"/>
                <w:szCs w:val="20"/>
              </w:rPr>
              <w:t>inn</w:t>
            </w:r>
            <w:r w:rsidRPr="00DC1343">
              <w:rPr>
                <w:rFonts w:ascii="Arial" w:hAnsi="Arial" w:cs="Arial"/>
                <w:sz w:val="20"/>
                <w:szCs w:val="20"/>
              </w:rPr>
              <w:t>en</w:t>
            </w:r>
            <w:r w:rsidR="009F3318">
              <w:rPr>
                <w:rFonts w:ascii="Arial" w:hAnsi="Arial" w:cs="Arial"/>
                <w:sz w:val="20"/>
                <w:szCs w:val="20"/>
              </w:rPr>
              <w:t xml:space="preserve"> und -patienten</w:t>
            </w:r>
            <w:r w:rsidRPr="00DC13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990B3F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150EC" w14:textId="77777777" w:rsidR="005D0020" w:rsidRPr="00DC1343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3AA776B7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B43776B" w14:textId="77777777" w:rsidR="005D0020" w:rsidRDefault="005D0020" w:rsidP="00707DA8">
            <w:r>
              <w:t>1.4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6490FB3" w14:textId="77777777" w:rsidR="005D0020" w:rsidRDefault="005D0020" w:rsidP="00DC1343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OP-Team</w:t>
            </w:r>
          </w:p>
          <w:p w14:paraId="5BEC18F9" w14:textId="77777777" w:rsidR="005D0020" w:rsidRDefault="005D0020" w:rsidP="00F5794A">
            <w:pPr>
              <w:rPr>
                <w:lang w:eastAsia="de-DE" w:bidi="he-IL"/>
              </w:rPr>
            </w:pPr>
          </w:p>
          <w:p w14:paraId="0B86E539" w14:textId="77777777" w:rsidR="005D0020" w:rsidRPr="00F5794A" w:rsidRDefault="005D0020" w:rsidP="00F5794A">
            <w:pPr>
              <w:rPr>
                <w:b/>
                <w:lang w:eastAsia="de-DE" w:bidi="he-IL"/>
              </w:rPr>
            </w:pPr>
            <w:r w:rsidRPr="00F5794A">
              <w:rPr>
                <w:b/>
                <w:lang w:eastAsia="de-DE" w:bidi="he-IL"/>
              </w:rPr>
              <w:t xml:space="preserve">Mindestanforderung: </w:t>
            </w:r>
          </w:p>
          <w:p w14:paraId="51146A3D" w14:textId="45538B7C" w:rsidR="005D0020" w:rsidRPr="00F5794A" w:rsidRDefault="00976120" w:rsidP="005B1965">
            <w:pPr>
              <w:rPr>
                <w:lang w:eastAsia="de-DE" w:bidi="he-IL"/>
              </w:rPr>
            </w:pPr>
            <w:r w:rsidRPr="00976120">
              <w:rPr>
                <w:szCs w:val="22"/>
              </w:rPr>
              <w:t>2 erfahrene Operateure (</w:t>
            </w:r>
            <w:r w:rsidR="009F3318">
              <w:rPr>
                <w:szCs w:val="22"/>
              </w:rPr>
              <w:t>Facharztstatus</w:t>
            </w:r>
            <w:r w:rsidRPr="00976120">
              <w:rPr>
                <w:szCs w:val="22"/>
              </w:rPr>
              <w:t xml:space="preserve">) </w:t>
            </w:r>
            <w:proofErr w:type="gramStart"/>
            <w:r w:rsidRPr="00976120">
              <w:rPr>
                <w:szCs w:val="22"/>
              </w:rPr>
              <w:t>mit  &gt;</w:t>
            </w:r>
            <w:proofErr w:type="gramEnd"/>
            <w:r w:rsidRPr="00976120">
              <w:rPr>
                <w:szCs w:val="22"/>
              </w:rPr>
              <w:t xml:space="preserve"> 20 Nierentransplantationen bei einem und &gt; 40 Nierentransplantationen beim anderen jeweils als verantwortlicher Operateur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173C7849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Namentliche Nennung samt Qualifikation und Anzahl Nierentransplantation und Nierenentnahmen:</w:t>
            </w:r>
          </w:p>
          <w:p w14:paraId="05DF3EFF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07222" w14:textId="77777777" w:rsidR="005D0020" w:rsidRPr="00DC1343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4A5F30E6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458227B1" w14:textId="77777777" w:rsidR="005D0020" w:rsidRDefault="005D0020" w:rsidP="005A6E4D">
            <w:r>
              <w:t>1.5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D3989A5" w14:textId="77777777" w:rsidR="005D0020" w:rsidRDefault="005D0020" w:rsidP="00DC1343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OP-Verfügbarkeit Rund-um-die-Uhr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13623857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3A181A54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6CF3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98FB6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0C4AFB3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3DBAC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736F2BCD" w14:textId="77777777" w:rsidTr="00440591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40E3B21C" w14:textId="77777777" w:rsidR="005D0020" w:rsidRDefault="005D0020" w:rsidP="00707DA8">
            <w:r>
              <w:lastRenderedPageBreak/>
              <w:t>1.6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A34ABBE" w14:textId="348DEA39" w:rsidR="005D0020" w:rsidRDefault="005D0020" w:rsidP="00FD7EE0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Anzahl nierentransplantierter </w:t>
            </w:r>
            <w:proofErr w:type="spellStart"/>
            <w:r>
              <w:rPr>
                <w:rFonts w:cs="Arial"/>
                <w:i w:val="0"/>
              </w:rPr>
              <w:t>Patiente</w:t>
            </w:r>
            <w:r w:rsidR="009F3318">
              <w:rPr>
                <w:rFonts w:cs="Arial"/>
                <w:i w:val="0"/>
              </w:rPr>
              <w:t>inne</w:t>
            </w:r>
            <w:r>
              <w:rPr>
                <w:rFonts w:cs="Arial"/>
                <w:i w:val="0"/>
              </w:rPr>
              <w:t>n</w:t>
            </w:r>
            <w:proofErr w:type="spellEnd"/>
            <w:r w:rsidR="009F3318">
              <w:rPr>
                <w:rFonts w:cs="Arial"/>
                <w:i w:val="0"/>
              </w:rPr>
              <w:t xml:space="preserve"> und -</w:t>
            </w:r>
            <w:proofErr w:type="spellStart"/>
            <w:r w:rsidR="009F3318">
              <w:rPr>
                <w:rFonts w:cs="Arial"/>
                <w:i w:val="0"/>
              </w:rPr>
              <w:t>patieten</w:t>
            </w:r>
            <w:proofErr w:type="spellEnd"/>
            <w:r>
              <w:rPr>
                <w:rFonts w:cs="Arial"/>
                <w:i w:val="0"/>
              </w:rPr>
              <w:t xml:space="preserve"> der letzten 3 Jahre. </w:t>
            </w:r>
          </w:p>
          <w:p w14:paraId="51AD947B" w14:textId="77777777" w:rsidR="005D0020" w:rsidRDefault="005D0020" w:rsidP="00FD7EE0">
            <w:pPr>
              <w:pStyle w:val="berschrift4"/>
              <w:rPr>
                <w:rFonts w:cs="Arial"/>
                <w:i w:val="0"/>
              </w:rPr>
            </w:pPr>
          </w:p>
          <w:p w14:paraId="0B260149" w14:textId="77777777" w:rsidR="005D0020" w:rsidRDefault="005D0020" w:rsidP="005A6E4D"/>
          <w:p w14:paraId="4C0C15C0" w14:textId="77777777" w:rsidR="005D0020" w:rsidRPr="005A6E4D" w:rsidRDefault="005D0020" w:rsidP="005A6E4D">
            <w:pPr>
              <w:rPr>
                <w:i/>
              </w:rPr>
            </w:pP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06AB447D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im Kennzahlenbogen</w:t>
            </w:r>
          </w:p>
        </w:tc>
      </w:tr>
      <w:tr w:rsidR="005D0020" w:rsidRPr="00B54E4A" w14:paraId="5CFD5F3A" w14:textId="77777777" w:rsidTr="00440591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0AF040C0" w14:textId="77777777" w:rsidR="005D0020" w:rsidRDefault="005D0020" w:rsidP="00707DA8">
            <w:r>
              <w:t>1.7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3DF0C12B" w14:textId="17526E4D" w:rsidR="005D0020" w:rsidRDefault="005D0020" w:rsidP="00343835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Anzahl der Lebendspender</w:t>
            </w:r>
            <w:r w:rsidR="009F3318">
              <w:rPr>
                <w:rFonts w:cs="Arial"/>
                <w:i w:val="0"/>
              </w:rPr>
              <w:t>innen und -spender</w:t>
            </w:r>
            <w:r>
              <w:rPr>
                <w:rFonts w:cs="Arial"/>
                <w:i w:val="0"/>
              </w:rPr>
              <w:t xml:space="preserve"> in den letzten 3 Jahren.</w:t>
            </w:r>
          </w:p>
          <w:p w14:paraId="582F6A08" w14:textId="77777777" w:rsidR="005D0020" w:rsidRDefault="005D0020" w:rsidP="00FD7EE0">
            <w:pPr>
              <w:pStyle w:val="berschrift4"/>
              <w:rPr>
                <w:rFonts w:cs="Arial"/>
                <w:i w:val="0"/>
              </w:rPr>
            </w:pP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2E03A5D3" w14:textId="77777777" w:rsidR="005D0020" w:rsidRDefault="005D0020" w:rsidP="00DC134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im Kennzahlenbogen</w:t>
            </w:r>
          </w:p>
        </w:tc>
      </w:tr>
      <w:tr w:rsidR="005D0020" w:rsidRPr="00B54E4A" w14:paraId="12F20130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F3B0A29" w14:textId="77777777" w:rsidR="005D0020" w:rsidRDefault="005D0020" w:rsidP="004F20D9">
            <w:r>
              <w:t>1.8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701BBC9" w14:textId="77777777" w:rsidR="005D0020" w:rsidRPr="005A13FB" w:rsidRDefault="005D0020" w:rsidP="00C262C2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Institutionalisierte </w:t>
            </w:r>
            <w:r w:rsidRPr="005A13FB">
              <w:rPr>
                <w:i w:val="0"/>
              </w:rPr>
              <w:t xml:space="preserve">Anbindung an </w:t>
            </w:r>
            <w:r>
              <w:rPr>
                <w:i w:val="0"/>
              </w:rPr>
              <w:t>(„</w:t>
            </w:r>
            <w:proofErr w:type="spellStart"/>
            <w:r>
              <w:rPr>
                <w:i w:val="0"/>
              </w:rPr>
              <w:t>Transplantations</w:t>
            </w:r>
            <w:proofErr w:type="spellEnd"/>
            <w:r>
              <w:rPr>
                <w:i w:val="0"/>
              </w:rPr>
              <w:t xml:space="preserve">“-) </w:t>
            </w:r>
            <w:r w:rsidRPr="005A13FB">
              <w:rPr>
                <w:i w:val="0"/>
              </w:rPr>
              <w:t>Immunologie</w:t>
            </w:r>
            <w:r>
              <w:rPr>
                <w:i w:val="0"/>
              </w:rPr>
              <w:t xml:space="preserve"> mit 24h-Verfügbarkeit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388DCF48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3355DF04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9587A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3E063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6FE42C47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380D4" w14:textId="77777777" w:rsidR="005D0020" w:rsidRPr="00F526CC" w:rsidRDefault="005D0020" w:rsidP="00C262C2">
            <w:pPr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79F2F8B6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69243C71" w14:textId="77777777" w:rsidR="005D0020" w:rsidRDefault="005D0020" w:rsidP="004F20D9">
            <w:r>
              <w:t>1.9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E2FA91F" w14:textId="77777777" w:rsidR="005D0020" w:rsidRPr="005A13FB" w:rsidRDefault="005D0020" w:rsidP="00C262C2">
            <w:pPr>
              <w:pStyle w:val="berschrift4"/>
              <w:rPr>
                <w:rFonts w:cs="Arial"/>
                <w:i w:val="0"/>
              </w:rPr>
            </w:pPr>
            <w:r>
              <w:rPr>
                <w:i w:val="0"/>
              </w:rPr>
              <w:t xml:space="preserve">Institutionalisierte </w:t>
            </w:r>
            <w:r w:rsidRPr="005A13FB">
              <w:rPr>
                <w:i w:val="0"/>
              </w:rPr>
              <w:t>Anbindung an Mikrobiologie</w:t>
            </w:r>
            <w:r>
              <w:rPr>
                <w:i w:val="0"/>
              </w:rPr>
              <w:t xml:space="preserve"> mit 24h-Verfügbarkeit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577DD94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127C765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5DAE0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A9E56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71D936B6" w14:textId="77777777" w:rsidR="005D0020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4CC6B" w14:textId="77777777" w:rsidR="005D0020" w:rsidRPr="00DC1343" w:rsidRDefault="005D0020" w:rsidP="00C262C2">
            <w:pPr>
              <w:pStyle w:val="EinfacherAbsatz"/>
              <w:spacing w:line="240" w:lineRule="auto"/>
              <w:jc w:val="both"/>
              <w:rPr>
                <w:color w:val="auto"/>
              </w:rPr>
            </w:pPr>
          </w:p>
        </w:tc>
      </w:tr>
      <w:tr w:rsidR="005D0020" w:rsidRPr="00B54E4A" w14:paraId="1FEAF121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93C6822" w14:textId="77777777" w:rsidR="005D0020" w:rsidRDefault="005D0020" w:rsidP="004F20D9">
            <w:r>
              <w:t>1.10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D73D0AC" w14:textId="77777777" w:rsidR="005D0020" w:rsidRPr="00F5794A" w:rsidRDefault="005D0020" w:rsidP="00C262C2">
            <w:pPr>
              <w:rPr>
                <w:lang w:eastAsia="de-DE" w:bidi="he-IL"/>
              </w:rPr>
            </w:pPr>
            <w:r w:rsidRPr="007358D9">
              <w:t xml:space="preserve">Institutionalisierte </w:t>
            </w:r>
            <w:r>
              <w:t>Anbindung an Interventionelle</w:t>
            </w:r>
            <w:r w:rsidR="009B4F2E">
              <w:t xml:space="preserve"> </w:t>
            </w:r>
            <w:r w:rsidRPr="005A13FB">
              <w:t>Radiologie</w:t>
            </w:r>
            <w:r w:rsidR="009B4F2E">
              <w:t xml:space="preserve"> </w:t>
            </w:r>
            <w:r w:rsidRPr="00943E5A">
              <w:t>mit 24h-Verfügbarkeit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F1914B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003DE16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D8D6D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77A58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578D71D6" w14:textId="77777777" w:rsidR="005D0020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4FFEC" w14:textId="77777777" w:rsidR="005D0020" w:rsidRPr="00DC1343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19B6003F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3314426" w14:textId="77777777" w:rsidR="005D0020" w:rsidRDefault="005D0020" w:rsidP="004F20D9">
            <w:r>
              <w:t>1.11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4103261" w14:textId="77777777" w:rsidR="005D0020" w:rsidRPr="0072593B" w:rsidRDefault="005D0020" w:rsidP="00B32D07">
            <w:pPr>
              <w:pStyle w:val="berschrift4"/>
              <w:rPr>
                <w:i w:val="0"/>
              </w:rPr>
            </w:pPr>
            <w:r w:rsidRPr="005A6E4D">
              <w:rPr>
                <w:i w:val="0"/>
              </w:rPr>
              <w:t>Institutionalisierte Anbindung an Urologie mit 24h-Verfügbarkeit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5C69A581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  <w:r>
              <w:rPr>
                <w:rFonts w:ascii="Arial" w:hAnsi="Arial" w:cs="Arial"/>
                <w:sz w:val="20"/>
                <w:szCs w:val="20"/>
              </w:rPr>
              <w:t xml:space="preserve"> mit Nennung des </w:t>
            </w:r>
          </w:p>
          <w:p w14:paraId="5BFF1FC7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Verantwortlichen auf Seiten des Kooperationspartners</w:t>
            </w:r>
          </w:p>
          <w:p w14:paraId="6572EDEE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EBF19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5CA53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F7406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6C92C18D" w14:textId="77777777" w:rsidR="005D0020" w:rsidRDefault="005D0020" w:rsidP="00DC3606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820FA" w14:textId="77777777" w:rsidR="005D0020" w:rsidRPr="00F526CC" w:rsidRDefault="005D0020" w:rsidP="00C262C2">
            <w:pPr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58E3D179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6343A2A" w14:textId="77777777" w:rsidR="005D0020" w:rsidRDefault="005D0020" w:rsidP="004F20D9">
            <w:r>
              <w:t>1.12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4CA84FD3" w14:textId="77777777" w:rsidR="005D0020" w:rsidRPr="00D46A68" w:rsidRDefault="005D0020" w:rsidP="00D46A68">
            <w:pPr>
              <w:pStyle w:val="berschrift4"/>
              <w:rPr>
                <w:i w:val="0"/>
              </w:rPr>
            </w:pPr>
            <w:r w:rsidRPr="005A6E4D">
              <w:rPr>
                <w:i w:val="0"/>
              </w:rPr>
              <w:t>Institutionalisierte Anbindung an Gefäßchirurgie mit 24h-Verfügbarkeit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00B2126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  <w:r>
              <w:rPr>
                <w:rFonts w:ascii="Arial" w:hAnsi="Arial" w:cs="Arial"/>
                <w:sz w:val="20"/>
                <w:szCs w:val="20"/>
              </w:rPr>
              <w:t xml:space="preserve"> mit Nennung des </w:t>
            </w:r>
          </w:p>
          <w:p w14:paraId="7603A44A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Verantwortlichen auf Seiten des Kooperationspartners</w:t>
            </w:r>
          </w:p>
          <w:p w14:paraId="04C2A3E5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64928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14985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E197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5AD36270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440B8" w14:textId="77777777" w:rsidR="005D0020" w:rsidRPr="00F526CC" w:rsidRDefault="005D0020" w:rsidP="00C262C2">
            <w:pPr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6947CA0D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6E7E7E6" w14:textId="77777777" w:rsidR="005D0020" w:rsidRDefault="005D0020" w:rsidP="004F20D9">
            <w:r>
              <w:lastRenderedPageBreak/>
              <w:t>1.13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9B82D54" w14:textId="77777777" w:rsidR="005D0020" w:rsidRPr="004166B2" w:rsidRDefault="005D0020" w:rsidP="00D46A68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Zusammenarbeit mit Selbsthilfegruppen und Durchführung von Patientenkonferenzen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29AFFA5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5F24653A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C38B1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790E1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35EDD28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1F66E" w14:textId="77777777" w:rsidR="005D0020" w:rsidRDefault="005D0020" w:rsidP="00DC3606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5CBA62FA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021F4ABD" w14:textId="77777777" w:rsidR="005D0020" w:rsidRPr="00BF0989" w:rsidRDefault="005D0020" w:rsidP="004F20D9">
            <w:r w:rsidRPr="00BF0989">
              <w:t>1.14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0582EB5D" w14:textId="77777777" w:rsidR="005D0020" w:rsidRPr="00BF0989" w:rsidRDefault="005D0020" w:rsidP="004454AD">
            <w:pPr>
              <w:pStyle w:val="berschrift4"/>
              <w:rPr>
                <w:i w:val="0"/>
              </w:rPr>
            </w:pPr>
            <w:r w:rsidRPr="00BF0989">
              <w:rPr>
                <w:i w:val="0"/>
              </w:rPr>
              <w:t>Ambulante Nachsorgemöglichkeit unter Einbindung der Nephrologie muss gegeben sein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0A8BF2D5" w14:textId="77777777" w:rsidR="005D0020" w:rsidRPr="00BF0989" w:rsidRDefault="005D0020" w:rsidP="002D3198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 xml:space="preserve">     Ja, Beschreibung</w:t>
            </w:r>
          </w:p>
          <w:p w14:paraId="35EF87A6" w14:textId="77777777" w:rsidR="005D0020" w:rsidRPr="00BF0989" w:rsidRDefault="005D0020" w:rsidP="002D3198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3B151" w14:textId="77777777" w:rsidR="005D0020" w:rsidRPr="00BF0989" w:rsidRDefault="005D0020" w:rsidP="002D3198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64458" w14:textId="77777777" w:rsidR="005D0020" w:rsidRPr="00BF0989" w:rsidRDefault="005D0020" w:rsidP="002D3198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1218CE98" w14:textId="77777777" w:rsidR="005D0020" w:rsidRPr="00BF0989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03B9A737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573EEC7" w14:textId="77777777" w:rsidR="005D0020" w:rsidRPr="00BF0989" w:rsidRDefault="005D0020" w:rsidP="00CC37A2">
            <w:r w:rsidRPr="00BF0989">
              <w:t>1.15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B9C3FF3" w14:textId="311ADD1A" w:rsidR="005D0020" w:rsidRPr="00BF0989" w:rsidRDefault="005D0020" w:rsidP="00CC37A2">
            <w:pPr>
              <w:pStyle w:val="berschrift4"/>
              <w:rPr>
                <w:i w:val="0"/>
              </w:rPr>
            </w:pPr>
            <w:r w:rsidRPr="00BF0989">
              <w:rPr>
                <w:i w:val="0"/>
              </w:rPr>
              <w:t xml:space="preserve">Zur Nachsorge bei Komplikationen müssen mindestens 15 Betten(-äquivalente*) zur Verfügung stehen </w:t>
            </w:r>
            <w:r w:rsidRPr="00BF0989">
              <w:rPr>
                <w:rFonts w:cs="Arial"/>
                <w:i w:val="0"/>
              </w:rPr>
              <w:t>unter fachlich weisungsunabhängiger Leitung durch einen im KH hauptberuflich tätige</w:t>
            </w:r>
            <w:r w:rsidR="009F3318">
              <w:rPr>
                <w:rFonts w:cs="Arial"/>
                <w:i w:val="0"/>
              </w:rPr>
              <w:t>/</w:t>
            </w:r>
            <w:r w:rsidRPr="00BF0989">
              <w:rPr>
                <w:rFonts w:cs="Arial"/>
                <w:i w:val="0"/>
              </w:rPr>
              <w:t>n Nephrolog</w:t>
            </w:r>
            <w:r w:rsidR="009F3318">
              <w:rPr>
                <w:rFonts w:cs="Arial"/>
                <w:i w:val="0"/>
              </w:rPr>
              <w:t>i</w:t>
            </w:r>
            <w:r w:rsidRPr="00BF0989">
              <w:rPr>
                <w:rFonts w:cs="Arial"/>
                <w:i w:val="0"/>
              </w:rPr>
              <w:t>n</w:t>
            </w:r>
            <w:r w:rsidR="009F3318">
              <w:rPr>
                <w:rFonts w:cs="Arial"/>
                <w:i w:val="0"/>
              </w:rPr>
              <w:t>/ Nephrologen</w:t>
            </w:r>
            <w:r w:rsidRPr="00BF0989">
              <w:rPr>
                <w:rFonts w:cs="Arial"/>
                <w:i w:val="0"/>
              </w:rPr>
              <w:t>.</w:t>
            </w:r>
          </w:p>
          <w:p w14:paraId="344E50A1" w14:textId="77777777" w:rsidR="005D0020" w:rsidRPr="00BF0989" w:rsidRDefault="005D0020" w:rsidP="00CC37A2">
            <w:pPr>
              <w:rPr>
                <w:lang w:eastAsia="de-DE" w:bidi="he-IL"/>
              </w:rPr>
            </w:pPr>
          </w:p>
          <w:p w14:paraId="3B77F400" w14:textId="77777777" w:rsidR="005D0020" w:rsidRPr="00BF0989" w:rsidRDefault="005D0020" w:rsidP="00CC37A2">
            <w:pPr>
              <w:rPr>
                <w:lang w:eastAsia="de-DE" w:bidi="he-IL"/>
              </w:rPr>
            </w:pPr>
          </w:p>
          <w:p w14:paraId="03D870BB" w14:textId="77777777" w:rsidR="005D0020" w:rsidRPr="00BF0989" w:rsidRDefault="005D0020" w:rsidP="00CC37A2">
            <w:pPr>
              <w:pStyle w:val="berschrift4"/>
              <w:rPr>
                <w:i w:val="0"/>
              </w:rPr>
            </w:pPr>
            <w:r w:rsidRPr="00BF0989">
              <w:t>*Zugriff auf mindestens 15 Betten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21696969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 xml:space="preserve">     Ja, Beschreibung</w:t>
            </w:r>
          </w:p>
          <w:p w14:paraId="63FDB2D1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1D551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152A7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0A6C9C6D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4D38EE31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0450A381" w14:textId="77777777" w:rsidR="005D0020" w:rsidRPr="00BF0989" w:rsidRDefault="005D0020" w:rsidP="00CC37A2">
            <w:r w:rsidRPr="00BF0989">
              <w:t>1.16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49D3A05" w14:textId="77777777" w:rsidR="005D0020" w:rsidRPr="00BF0989" w:rsidRDefault="005D0020" w:rsidP="00CC37A2">
            <w:pPr>
              <w:rPr>
                <w:lang w:eastAsia="de-DE" w:bidi="he-IL"/>
              </w:rPr>
            </w:pPr>
            <w:r w:rsidRPr="00BF0989">
              <w:rPr>
                <w:lang w:eastAsia="de-DE" w:bidi="he-IL"/>
              </w:rPr>
              <w:t>Ärztliche Besetzung im Rufdienst</w:t>
            </w:r>
          </w:p>
          <w:p w14:paraId="3EC7A776" w14:textId="77777777" w:rsidR="005D0020" w:rsidRPr="00BF0989" w:rsidRDefault="005D0020" w:rsidP="00CC37A2">
            <w:pPr>
              <w:rPr>
                <w:lang w:eastAsia="de-DE" w:bidi="he-IL"/>
              </w:rPr>
            </w:pPr>
          </w:p>
          <w:p w14:paraId="0C7024F3" w14:textId="77777777" w:rsidR="005D0020" w:rsidRPr="0080280B" w:rsidRDefault="005D0020" w:rsidP="00CC37A2">
            <w:pPr>
              <w:rPr>
                <w:b/>
                <w:szCs w:val="16"/>
                <w:lang w:eastAsia="de-DE" w:bidi="he-IL"/>
              </w:rPr>
            </w:pPr>
            <w:r w:rsidRPr="0080280B">
              <w:rPr>
                <w:b/>
                <w:szCs w:val="16"/>
                <w:lang w:eastAsia="de-DE" w:bidi="he-IL"/>
              </w:rPr>
              <w:t>Mindestanforderung:</w:t>
            </w:r>
          </w:p>
          <w:p w14:paraId="454631E7" w14:textId="77777777" w:rsidR="005D0020" w:rsidRPr="00BF0989" w:rsidRDefault="005D0020" w:rsidP="00CC37A2">
            <w:pPr>
              <w:pStyle w:val="berschrift4"/>
              <w:rPr>
                <w:i w:val="0"/>
              </w:rPr>
            </w:pPr>
            <w:r w:rsidRPr="0080280B">
              <w:rPr>
                <w:i w:val="0"/>
                <w:szCs w:val="16"/>
              </w:rPr>
              <w:t>Ein 24-Stunden-Bereitschaftdienst (ggf. als Hintergrunddienst/Rufbereitschaft) durch einen Nephrologen ist zwingend erforderlich und muss nachgewiesen werden.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30F54A87" w14:textId="55DA878C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Arial" w:hAnsi="Arial" w:cs="Arial"/>
                <w:color w:val="auto"/>
                <w:sz w:val="20"/>
                <w:szCs w:val="20"/>
              </w:rPr>
              <w:t>Anzahl der Ärzt</w:t>
            </w:r>
            <w:r w:rsidR="009F3318">
              <w:rPr>
                <w:rFonts w:ascii="Arial" w:hAnsi="Arial" w:cs="Arial"/>
                <w:color w:val="auto"/>
                <w:sz w:val="20"/>
                <w:szCs w:val="20"/>
              </w:rPr>
              <w:t>inn</w:t>
            </w:r>
            <w:r w:rsidRPr="00BF0989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9F3318">
              <w:rPr>
                <w:rFonts w:ascii="Arial" w:hAnsi="Arial" w:cs="Arial"/>
                <w:color w:val="auto"/>
                <w:sz w:val="20"/>
                <w:szCs w:val="20"/>
              </w:rPr>
              <w:t>n und Ärzte</w:t>
            </w:r>
            <w:r w:rsidRPr="00BF098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5D0020" w:rsidRPr="00B54E4A" w14:paraId="3AF2E836" w14:textId="77777777" w:rsidTr="001D6EE7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C169CC7" w14:textId="77777777" w:rsidR="005D0020" w:rsidRPr="00BF0989" w:rsidRDefault="005D0020" w:rsidP="00CC37A2">
            <w:r w:rsidRPr="00BF0989">
              <w:t>1.17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A894301" w14:textId="77777777" w:rsidR="005D0020" w:rsidRPr="00BF0989" w:rsidRDefault="005D0020" w:rsidP="00D15269">
            <w:pPr>
              <w:rPr>
                <w:lang w:eastAsia="de-DE" w:bidi="he-IL"/>
              </w:rPr>
            </w:pPr>
            <w:r w:rsidRPr="00BF0989">
              <w:rPr>
                <w:lang w:eastAsia="de-DE" w:bidi="he-IL"/>
              </w:rPr>
              <w:t>Die Möglichkeit zur Duplex-Sonographie muss gegeben sein.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6EDC467E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 xml:space="preserve">     Ja, Beschreibung</w:t>
            </w:r>
          </w:p>
          <w:p w14:paraId="13893468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C2B2A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09246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51F83AC1" w14:textId="77777777" w:rsidR="005D0020" w:rsidRPr="00BF0989" w:rsidRDefault="005D0020" w:rsidP="00CC37A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3C34140" w14:textId="77777777" w:rsidR="005D0020" w:rsidRDefault="005D0020">
      <w:pPr>
        <w:rPr>
          <w:rFonts w:cs="Times New Roman"/>
          <w:b/>
          <w:bCs/>
          <w:kern w:val="32"/>
          <w:szCs w:val="32"/>
        </w:rPr>
      </w:pPr>
      <w:r>
        <w:br w:type="page"/>
      </w:r>
    </w:p>
    <w:p w14:paraId="44AB01BA" w14:textId="77777777" w:rsidR="005D0020" w:rsidRPr="00140DBF" w:rsidRDefault="005D0020" w:rsidP="00F5794A">
      <w:pPr>
        <w:pStyle w:val="berschrift1"/>
      </w:pPr>
      <w:bookmarkStart w:id="2" w:name="_Toc364770137"/>
      <w:r>
        <w:lastRenderedPageBreak/>
        <w:t>Prozessuale Anforderungen</w:t>
      </w:r>
      <w:bookmarkEnd w:id="2"/>
    </w:p>
    <w:p w14:paraId="6F6E0F5D" w14:textId="77777777" w:rsidR="005D0020" w:rsidRPr="00AC0C9E" w:rsidRDefault="005D0020" w:rsidP="00F5794A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474"/>
        <w:gridCol w:w="4480"/>
      </w:tblGrid>
      <w:tr w:rsidR="005D0020" w:rsidRPr="00372E9D" w14:paraId="4ECCA49B" w14:textId="77777777" w:rsidTr="00C262C2">
        <w:trPr>
          <w:cantSplit/>
          <w:tblHeader/>
        </w:trPr>
        <w:tc>
          <w:tcPr>
            <w:tcW w:w="434" w:type="pct"/>
            <w:shd w:val="clear" w:color="auto" w:fill="E0E0E0"/>
          </w:tcPr>
          <w:p w14:paraId="6C5057F8" w14:textId="77777777" w:rsidR="005D0020" w:rsidRPr="00372E9D" w:rsidRDefault="005D0020" w:rsidP="00C26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 w:rsidRPr="00372E9D">
              <w:rPr>
                <w:rFonts w:cs="Arial"/>
                <w:b/>
              </w:rPr>
              <w:t>Kap.</w:t>
            </w:r>
          </w:p>
        </w:tc>
        <w:tc>
          <w:tcPr>
            <w:tcW w:w="2281" w:type="pct"/>
            <w:shd w:val="clear" w:color="auto" w:fill="E0E0E0"/>
          </w:tcPr>
          <w:p w14:paraId="614BC897" w14:textId="77777777" w:rsidR="005D0020" w:rsidRPr="00372E9D" w:rsidRDefault="005D0020" w:rsidP="00C262C2">
            <w:pPr>
              <w:jc w:val="center"/>
              <w:rPr>
                <w:b/>
              </w:rPr>
            </w:pPr>
            <w:r w:rsidRPr="00372E9D">
              <w:rPr>
                <w:b/>
              </w:rPr>
              <w:t>Anforderungen</w:t>
            </w:r>
            <w:r>
              <w:rPr>
                <w:b/>
              </w:rPr>
              <w:t xml:space="preserve"> und Erhebungen</w:t>
            </w:r>
          </w:p>
        </w:tc>
        <w:tc>
          <w:tcPr>
            <w:tcW w:w="2284" w:type="pct"/>
            <w:shd w:val="clear" w:color="auto" w:fill="E0E0E0"/>
          </w:tcPr>
          <w:p w14:paraId="335B40AB" w14:textId="77777777" w:rsidR="005D0020" w:rsidRPr="00372E9D" w:rsidRDefault="005D0020" w:rsidP="00C262C2">
            <w:pPr>
              <w:jc w:val="center"/>
              <w:rPr>
                <w:b/>
              </w:rPr>
            </w:pPr>
            <w:r w:rsidRPr="00372E9D">
              <w:rPr>
                <w:b/>
              </w:rPr>
              <w:t xml:space="preserve">Beschreibungen </w:t>
            </w:r>
            <w:r>
              <w:rPr>
                <w:b/>
              </w:rPr>
              <w:t>der Einrichtung</w:t>
            </w:r>
          </w:p>
        </w:tc>
      </w:tr>
      <w:tr w:rsidR="005D0020" w:rsidRPr="00B54E4A" w14:paraId="70AD10D1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BD3A8E6" w14:textId="77777777" w:rsidR="005D0020" w:rsidRPr="00C446BE" w:rsidRDefault="005D0020" w:rsidP="00C262C2">
            <w:r>
              <w:t>2.1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22034A2F" w14:textId="77777777" w:rsidR="005D0020" w:rsidRPr="005A13FB" w:rsidRDefault="005D0020" w:rsidP="007B34AC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Möglichkeit zur Plasmaseparation muss gegeben sein.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341C39D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3CFA565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D0498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2E4FD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2B37A96F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BD3E7" w14:textId="77777777" w:rsidR="005D0020" w:rsidRPr="00F526CC" w:rsidRDefault="005D0020" w:rsidP="00C262C2">
            <w:pPr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0512B8CC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A6B2234" w14:textId="77777777" w:rsidR="005D0020" w:rsidRDefault="005D0020" w:rsidP="00C262C2">
            <w:r>
              <w:t>2.2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3B0BFD88" w14:textId="77777777" w:rsidR="005D0020" w:rsidRPr="005A13FB" w:rsidRDefault="005D0020" w:rsidP="003C4721">
            <w:pPr>
              <w:pStyle w:val="berschrift4"/>
              <w:rPr>
                <w:rFonts w:cs="Arial"/>
                <w:i w:val="0"/>
              </w:rPr>
            </w:pPr>
            <w:r>
              <w:rPr>
                <w:i w:val="0"/>
              </w:rPr>
              <w:t>Möglichkeit zur Immunadsorption gegeben (fakultativ)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560A1FA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5D6DFE72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74A02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F0C7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6E3DED9F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1D62F" w14:textId="77777777" w:rsidR="005D0020" w:rsidRPr="00DC1343" w:rsidRDefault="005D0020" w:rsidP="00C262C2">
            <w:pPr>
              <w:pStyle w:val="EinfacherAbsatz"/>
              <w:spacing w:line="240" w:lineRule="auto"/>
              <w:jc w:val="both"/>
              <w:rPr>
                <w:color w:val="auto"/>
              </w:rPr>
            </w:pPr>
          </w:p>
        </w:tc>
      </w:tr>
      <w:tr w:rsidR="005D0020" w:rsidRPr="00B54E4A" w14:paraId="48E1C1B7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A4816EB" w14:textId="77777777" w:rsidR="005D0020" w:rsidRDefault="005D0020" w:rsidP="00C262C2">
            <w:r>
              <w:t>2.3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AA400AC" w14:textId="77777777" w:rsidR="005D0020" w:rsidRPr="00DC1343" w:rsidRDefault="005D0020" w:rsidP="005A13FB">
            <w:pPr>
              <w:rPr>
                <w:lang w:eastAsia="de-DE" w:bidi="he-IL"/>
              </w:rPr>
            </w:pPr>
            <w:r w:rsidRPr="001C7CC7">
              <w:rPr>
                <w:lang w:eastAsia="de-DE" w:bidi="he-IL"/>
              </w:rPr>
              <w:t>Interdiszipli</w:t>
            </w:r>
            <w:r>
              <w:rPr>
                <w:lang w:eastAsia="de-DE" w:bidi="he-IL"/>
              </w:rPr>
              <w:t>näre</w:t>
            </w:r>
            <w:r w:rsidRPr="001C7CC7">
              <w:rPr>
                <w:lang w:eastAsia="de-DE" w:bidi="he-IL"/>
              </w:rPr>
              <w:t xml:space="preserve"> Transplantationskonferenzen </w:t>
            </w:r>
            <w:r>
              <w:rPr>
                <w:lang w:eastAsia="de-DE" w:bidi="he-IL"/>
              </w:rPr>
              <w:t xml:space="preserve">müssen regelmäßig </w:t>
            </w:r>
            <w:r w:rsidRPr="001C7CC7">
              <w:rPr>
                <w:lang w:eastAsia="de-DE" w:bidi="he-IL"/>
              </w:rPr>
              <w:t>(z.B. monatlich)</w:t>
            </w:r>
            <w:r>
              <w:rPr>
                <w:lang w:eastAsia="de-DE" w:bidi="he-IL"/>
              </w:rPr>
              <w:t xml:space="preserve"> durchgeführt werden.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00BAB562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15CD1D7D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0F051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4049B3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13583A69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59494" w14:textId="77777777" w:rsidR="005D0020" w:rsidRPr="00DC1343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4ED658AE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7D15C0E" w14:textId="77777777" w:rsidR="005D0020" w:rsidRDefault="005D0020" w:rsidP="00C262C2">
            <w:r>
              <w:t>2.4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55C53F01" w14:textId="77777777" w:rsidR="005D0020" w:rsidRPr="00F5794A" w:rsidRDefault="005D0020" w:rsidP="00CF460F">
            <w:pPr>
              <w:rPr>
                <w:lang w:eastAsia="de-DE" w:bidi="he-IL"/>
              </w:rPr>
            </w:pPr>
            <w:proofErr w:type="spellStart"/>
            <w:r w:rsidRPr="001C7CC7">
              <w:rPr>
                <w:lang w:eastAsia="de-DE" w:bidi="he-IL"/>
              </w:rPr>
              <w:t>Zuweiserkonferenzen</w:t>
            </w:r>
            <w:proofErr w:type="spellEnd"/>
            <w:r>
              <w:rPr>
                <w:lang w:eastAsia="de-DE" w:bidi="he-IL"/>
              </w:rPr>
              <w:t xml:space="preserve"> sollten angeboten werden.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0B0EF2DE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5787D888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AC7DB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1C5FF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6EB58C4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31B97" w14:textId="77777777" w:rsidR="005D0020" w:rsidRPr="00DC1343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0500970B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014E979" w14:textId="77777777" w:rsidR="005D0020" w:rsidRDefault="005D0020" w:rsidP="00C262C2">
            <w:r>
              <w:t>2.5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0D4D8DC5" w14:textId="77777777" w:rsidR="005D0020" w:rsidRPr="001C7CC7" w:rsidRDefault="005D0020" w:rsidP="001C7CC7">
            <w:r>
              <w:t>Geregelte Überweisungs- und Übermittlungswege sollten festgelegt sein.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34464A1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21D558D2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D2C29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3D964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FC7A984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F2524" w14:textId="77777777" w:rsidR="005D0020" w:rsidRDefault="005D0020" w:rsidP="00C262C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20" w:rsidRPr="00B54E4A" w14:paraId="2BD5DC5E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02AF46FC" w14:textId="77777777" w:rsidR="005D0020" w:rsidRDefault="005D0020" w:rsidP="00C262C2">
            <w:r>
              <w:t>2.6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942D7B0" w14:textId="77777777" w:rsidR="005D0020" w:rsidRDefault="005D0020" w:rsidP="001C7CC7">
            <w:r>
              <w:t>Möglichkeit und Regelung zur Lebendspende-Nierentransplantation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34593FE0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5EF4430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D18EC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1EF5A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2DF80C77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2F0A0" w14:textId="77777777" w:rsidR="005D0020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421CAB1B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4673C0C0" w14:textId="77777777" w:rsidR="005D0020" w:rsidRDefault="005D0020" w:rsidP="00C262C2">
            <w:r>
              <w:t>2.7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1B66997" w14:textId="77777777" w:rsidR="005D0020" w:rsidRDefault="005D0020" w:rsidP="001C7CC7">
            <w:r>
              <w:t>SOP zur Wartelistenpflege/-aufnahme muss vorhanden sein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2DFDB44D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78FABDC5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F1990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491D6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55ABA77E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56411" w14:textId="77777777" w:rsidR="005D0020" w:rsidRDefault="005D0020" w:rsidP="00B92424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7E6BC458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60DCF6DC" w14:textId="77777777" w:rsidR="005D0020" w:rsidRDefault="005D0020" w:rsidP="00C262C2">
            <w:r>
              <w:lastRenderedPageBreak/>
              <w:t>2.8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7F73DC6" w14:textId="77777777" w:rsidR="005D0020" w:rsidRDefault="005D0020" w:rsidP="00B214F0">
            <w:r>
              <w:t>Regelung zum Umgang mit Zentrumsangeboten (Spendernieren) sollte vorhanden sein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0309A555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24185D89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91854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72AE8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73F5B85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AD7B9B" w14:textId="77777777" w:rsidR="005D0020" w:rsidRDefault="005D0020" w:rsidP="00E256A6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7B7E41AF" w14:textId="77777777" w:rsidTr="00C262C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07585869" w14:textId="77777777" w:rsidR="005D0020" w:rsidRDefault="005D0020" w:rsidP="00C262C2">
            <w:r>
              <w:t>2.9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344721C" w14:textId="77777777" w:rsidR="005D0020" w:rsidRDefault="005D0020" w:rsidP="00B214F0">
            <w:r>
              <w:t>Definierte Behandlungspfade müssen vorhanden sein für:</w:t>
            </w:r>
          </w:p>
          <w:p w14:paraId="53DA7E54" w14:textId="77777777" w:rsidR="005D0020" w:rsidRDefault="005D0020" w:rsidP="005A6E4D">
            <w:pPr>
              <w:pStyle w:val="Listenabsatz"/>
              <w:numPr>
                <w:ilvl w:val="0"/>
                <w:numId w:val="55"/>
              </w:numPr>
            </w:pPr>
            <w:r>
              <w:t>Immunsuppression</w:t>
            </w:r>
          </w:p>
          <w:p w14:paraId="002D3469" w14:textId="77777777" w:rsidR="005D0020" w:rsidRDefault="005D0020" w:rsidP="005A6E4D">
            <w:pPr>
              <w:pStyle w:val="Listenabsatz"/>
              <w:numPr>
                <w:ilvl w:val="0"/>
                <w:numId w:val="55"/>
              </w:numPr>
            </w:pPr>
            <w:r>
              <w:t>Rejektionstherapie</w:t>
            </w:r>
          </w:p>
          <w:p w14:paraId="61405617" w14:textId="77777777" w:rsidR="005D0020" w:rsidRDefault="005D0020" w:rsidP="005A6E4D">
            <w:pPr>
              <w:pStyle w:val="Listenabsatz"/>
              <w:numPr>
                <w:ilvl w:val="0"/>
                <w:numId w:val="55"/>
              </w:numPr>
            </w:pPr>
            <w:r>
              <w:t>Begleittherapie (z.B. Infektionsprophylaxe)</w:t>
            </w:r>
          </w:p>
          <w:p w14:paraId="7C33A82A" w14:textId="77777777" w:rsidR="005D0020" w:rsidRDefault="005D0020" w:rsidP="005A6E4D">
            <w:pPr>
              <w:pStyle w:val="Listenabsatz"/>
              <w:numPr>
                <w:ilvl w:val="0"/>
                <w:numId w:val="55"/>
              </w:numPr>
            </w:pPr>
            <w:r>
              <w:t>Nachsorge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64C74C7D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</w:p>
          <w:p w14:paraId="4CCE53B7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E7A6F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BBDD5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>Nein (Begründung erforderlich)</w:t>
            </w:r>
          </w:p>
          <w:p w14:paraId="718E4F1F" w14:textId="77777777" w:rsidR="005D0020" w:rsidRDefault="005D0020" w:rsidP="002E77E6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0A8A4E2A" w14:textId="77777777" w:rsidTr="00440591">
        <w:trPr>
          <w:cantSplit/>
          <w:trHeight w:val="945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5AAC64B" w14:textId="77777777" w:rsidR="005D0020" w:rsidRDefault="005D0020" w:rsidP="00C262C2">
            <w:r>
              <w:t>2.10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385FE7D" w14:textId="77777777" w:rsidR="005D0020" w:rsidRDefault="005D0020" w:rsidP="00B214F0">
            <w:r>
              <w:t>Studienmanagement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7680FA0B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B9">
              <w:rPr>
                <w:rFonts w:ascii="Arial" w:hAnsi="Arial" w:cs="Arial"/>
                <w:sz w:val="20"/>
                <w:szCs w:val="20"/>
              </w:rPr>
              <w:t>Beschreibung</w:t>
            </w:r>
            <w:r>
              <w:rPr>
                <w:rFonts w:ascii="Arial" w:hAnsi="Arial" w:cs="Arial"/>
                <w:sz w:val="20"/>
                <w:szCs w:val="20"/>
              </w:rPr>
              <w:t xml:space="preserve"> und Nennung der Studien</w:t>
            </w:r>
          </w:p>
          <w:p w14:paraId="4D0562EB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0B300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FFAD7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8D6DCE6" w14:textId="77777777" w:rsidR="005D0020" w:rsidRPr="003C149A" w:rsidRDefault="005D0020" w:rsidP="00306D1D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558BE" w14:textId="77777777" w:rsidR="005D0020" w:rsidRDefault="005D0020" w:rsidP="00C4161B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0020" w:rsidRPr="00B54E4A" w14:paraId="0061136D" w14:textId="77777777" w:rsidTr="00440591">
        <w:trPr>
          <w:cantSplit/>
          <w:trHeight w:val="945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6E54C43" w14:textId="77777777" w:rsidR="005D0020" w:rsidRPr="00BF0989" w:rsidRDefault="005D0020" w:rsidP="00C262C2">
            <w:r w:rsidRPr="00BF0989">
              <w:t>2.11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55ABB095" w14:textId="77777777" w:rsidR="005D0020" w:rsidRPr="00BF0989" w:rsidRDefault="005D0020" w:rsidP="002D3198">
            <w:r w:rsidRPr="00BF0989">
              <w:t>Sechs-Augenprinzip unter Beteiligung eines Nephrologen bei der Aufnahme eines Patienten auf Warteliste für Spenderorgane wird gewährleistet</w:t>
            </w:r>
          </w:p>
        </w:tc>
        <w:tc>
          <w:tcPr>
            <w:tcW w:w="2284" w:type="pct"/>
            <w:tcMar>
              <w:top w:w="57" w:type="dxa"/>
              <w:bottom w:w="57" w:type="dxa"/>
            </w:tcMar>
          </w:tcPr>
          <w:p w14:paraId="36A222EA" w14:textId="77777777" w:rsidR="005D0020" w:rsidRPr="00BF0989" w:rsidRDefault="005D0020" w:rsidP="00F57A32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 xml:space="preserve">     Ja, Beschreibung des Procedere und Vorlage der schriftlichen Regelung z.B. in einer Geschäftsordnung des Transplantationszentrums</w:t>
            </w:r>
          </w:p>
          <w:p w14:paraId="05223C3C" w14:textId="77777777" w:rsidR="005D0020" w:rsidRPr="00BF0989" w:rsidRDefault="005D0020" w:rsidP="0039573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D7961" w14:textId="77777777" w:rsidR="005D0020" w:rsidRPr="00BF0989" w:rsidRDefault="005D0020" w:rsidP="0039573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63ED4" w14:textId="77777777" w:rsidR="005D0020" w:rsidRPr="00BF0989" w:rsidRDefault="005D0020" w:rsidP="00395733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989">
              <w:rPr>
                <w:rFonts w:ascii="MS Gothic" w:eastAsia="MS Gothic" w:hAnsi="MS Gothic" w:cs="Arial" w:hint="eastAsia"/>
              </w:rPr>
              <w:t>☐</w:t>
            </w:r>
            <w:r w:rsidRPr="00BF0989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5351486" w14:textId="77777777" w:rsidR="005D0020" w:rsidRPr="00BF0989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32FFA9" w14:textId="77777777" w:rsidR="005D0020" w:rsidRDefault="005D0020">
      <w:r>
        <w:br w:type="page"/>
      </w:r>
    </w:p>
    <w:p w14:paraId="6A86BFAC" w14:textId="77777777" w:rsidR="005D0020" w:rsidRDefault="005D0020"/>
    <w:p w14:paraId="4E742A6F" w14:textId="77777777" w:rsidR="005D0020" w:rsidRPr="00140DBF" w:rsidRDefault="005D0020" w:rsidP="007B34AC">
      <w:pPr>
        <w:pStyle w:val="berschrift1"/>
      </w:pPr>
      <w:bookmarkStart w:id="3" w:name="_Toc364770138"/>
      <w:r>
        <w:t>Ergebnisqualitative Anforderungen</w:t>
      </w:r>
      <w:bookmarkEnd w:id="3"/>
    </w:p>
    <w:p w14:paraId="598CD551" w14:textId="77777777" w:rsidR="005D0020" w:rsidRPr="00AC0C9E" w:rsidRDefault="005D0020" w:rsidP="007B34AC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473"/>
        <w:gridCol w:w="4481"/>
      </w:tblGrid>
      <w:tr w:rsidR="005D0020" w:rsidRPr="00372E9D" w14:paraId="27226A02" w14:textId="77777777" w:rsidTr="002E7EBF">
        <w:trPr>
          <w:cantSplit/>
          <w:tblHeader/>
        </w:trPr>
        <w:tc>
          <w:tcPr>
            <w:tcW w:w="434" w:type="pct"/>
            <w:shd w:val="clear" w:color="auto" w:fill="E0E0E0"/>
          </w:tcPr>
          <w:p w14:paraId="0AE05AF9" w14:textId="77777777" w:rsidR="005D0020" w:rsidRPr="00372E9D" w:rsidRDefault="005D0020" w:rsidP="00C26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 w:rsidRPr="00372E9D">
              <w:rPr>
                <w:rFonts w:cs="Arial"/>
                <w:b/>
              </w:rPr>
              <w:t>Kap.</w:t>
            </w:r>
          </w:p>
        </w:tc>
        <w:tc>
          <w:tcPr>
            <w:tcW w:w="2281" w:type="pct"/>
            <w:shd w:val="clear" w:color="auto" w:fill="E0E0E0"/>
          </w:tcPr>
          <w:p w14:paraId="5C0EAE10" w14:textId="77777777" w:rsidR="005D0020" w:rsidRPr="00372E9D" w:rsidRDefault="005D0020" w:rsidP="00C262C2">
            <w:pPr>
              <w:jc w:val="center"/>
              <w:rPr>
                <w:b/>
              </w:rPr>
            </w:pPr>
            <w:r w:rsidRPr="00372E9D">
              <w:rPr>
                <w:b/>
              </w:rPr>
              <w:t>Anforderungen</w:t>
            </w:r>
            <w:r>
              <w:rPr>
                <w:b/>
              </w:rPr>
              <w:t xml:space="preserve"> und Erhebungen</w:t>
            </w:r>
          </w:p>
        </w:tc>
        <w:tc>
          <w:tcPr>
            <w:tcW w:w="2285" w:type="pct"/>
            <w:shd w:val="clear" w:color="auto" w:fill="E0E0E0"/>
          </w:tcPr>
          <w:p w14:paraId="3A389113" w14:textId="77777777" w:rsidR="005D0020" w:rsidRPr="00372E9D" w:rsidRDefault="005D0020" w:rsidP="00C262C2">
            <w:pPr>
              <w:jc w:val="center"/>
              <w:rPr>
                <w:b/>
              </w:rPr>
            </w:pPr>
            <w:r w:rsidRPr="00372E9D">
              <w:rPr>
                <w:b/>
              </w:rPr>
              <w:t xml:space="preserve">Beschreibungen </w:t>
            </w:r>
            <w:r>
              <w:rPr>
                <w:b/>
              </w:rPr>
              <w:t>der Einrichtung</w:t>
            </w:r>
          </w:p>
        </w:tc>
      </w:tr>
      <w:tr w:rsidR="005D0020" w:rsidRPr="00B54E4A" w14:paraId="1336B1C3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6E499BFA" w14:textId="77777777" w:rsidR="005D0020" w:rsidRDefault="005D0020" w:rsidP="00C262C2">
            <w:r>
              <w:t>3.1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8F1AA14" w14:textId="77777777" w:rsidR="005D0020" w:rsidRPr="00A0203B" w:rsidRDefault="005D0020" w:rsidP="001C7CC7">
            <w:pPr>
              <w:rPr>
                <w:i/>
              </w:rPr>
            </w:pPr>
            <w:r>
              <w:t>Teilnahme an freiwilligen und/oder zukünftig verpflichtenden Registern (CTS-Register, Heidelberg, Eurotransplant; Deutsches Transplantationsregister).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0A16763E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3C149A">
              <w:rPr>
                <w:rFonts w:ascii="Arial" w:hAnsi="Arial" w:cs="Arial"/>
                <w:sz w:val="20"/>
                <w:szCs w:val="20"/>
              </w:rPr>
              <w:t xml:space="preserve">     Ja</w:t>
            </w:r>
            <w:r>
              <w:rPr>
                <w:rFonts w:ascii="Arial" w:hAnsi="Arial" w:cs="Arial"/>
                <w:sz w:val="20"/>
                <w:szCs w:val="20"/>
              </w:rPr>
              <w:t>, Angabe des/der Register</w:t>
            </w:r>
          </w:p>
          <w:p w14:paraId="1AC2EC1D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8C1DE" w14:textId="77777777" w:rsidR="005D0020" w:rsidRPr="003C149A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2375D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30F2E332" w14:textId="77777777" w:rsidR="005D0020" w:rsidRDefault="005D0020" w:rsidP="00740CAC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2CB1B" w14:textId="77777777" w:rsidR="005D0020" w:rsidRPr="007B34AC" w:rsidRDefault="005D0020" w:rsidP="00740CAC">
            <w:pPr>
              <w:pStyle w:val="EinfacherAbsatz"/>
              <w:spacing w:line="240" w:lineRule="auto"/>
              <w:jc w:val="both"/>
              <w:rPr>
                <w:color w:val="3366FF"/>
                <w:lang w:eastAsia="de-DE" w:bidi="he-IL"/>
              </w:rPr>
            </w:pPr>
          </w:p>
        </w:tc>
      </w:tr>
      <w:tr w:rsidR="005D0020" w:rsidRPr="00B54E4A" w14:paraId="0169CA1D" w14:textId="77777777" w:rsidTr="001D34E2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44E4F7F" w14:textId="77777777" w:rsidR="005D0020" w:rsidRDefault="005D0020" w:rsidP="00C262C2">
            <w:r>
              <w:t>3.2</w:t>
            </w:r>
          </w:p>
        </w:tc>
        <w:tc>
          <w:tcPr>
            <w:tcW w:w="4566" w:type="pct"/>
            <w:gridSpan w:val="2"/>
            <w:tcMar>
              <w:top w:w="57" w:type="dxa"/>
              <w:bottom w:w="57" w:type="dxa"/>
            </w:tcMar>
          </w:tcPr>
          <w:p w14:paraId="3B4C83D1" w14:textId="77777777" w:rsidR="005D0020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  <w:r w:rsidRPr="002E7EBF">
              <w:rPr>
                <w:rFonts w:ascii="Arial" w:hAnsi="Arial" w:cs="Arial"/>
                <w:sz w:val="20"/>
                <w:szCs w:val="20"/>
              </w:rPr>
              <w:t>Patienten-Überleben</w:t>
            </w:r>
          </w:p>
        </w:tc>
      </w:tr>
      <w:tr w:rsidR="005D0020" w:rsidRPr="0018406C" w14:paraId="7AD36B16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527B5E33" w14:textId="77777777" w:rsidR="005D0020" w:rsidRPr="0018406C" w:rsidRDefault="005D0020" w:rsidP="00C262C2">
            <w:r w:rsidRPr="0018406C">
              <w:t>3.2.1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1D9B60D" w14:textId="77777777" w:rsidR="005D0020" w:rsidRPr="0018406C" w:rsidRDefault="005D0020" w:rsidP="001C7CC7">
            <w:r w:rsidRPr="0018406C">
              <w:t>1-Jahres-Überleben 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7829E8C3" w14:textId="77777777" w:rsidR="005D0020" w:rsidRPr="0018406C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  <w:r w:rsidRPr="0018406C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18406C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0D94A0DD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BC01AB6" w14:textId="77777777" w:rsidR="005D0020" w:rsidRDefault="005D0020" w:rsidP="00C262C2">
            <w:r>
              <w:t>3.2.2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33CD8B5D" w14:textId="77777777" w:rsidR="005D0020" w:rsidRDefault="005D0020" w:rsidP="001C7CC7">
            <w:r>
              <w:t>2</w:t>
            </w:r>
            <w:r w:rsidRPr="0002255E">
              <w:t>-Jahres-Überleben 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6F68410E" w14:textId="77777777" w:rsidR="005D0020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05F09BC9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9EBEB9F" w14:textId="77777777" w:rsidR="005D0020" w:rsidRDefault="005D0020" w:rsidP="005A6E4D">
            <w:r>
              <w:t>3.2.3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0ABAE21F" w14:textId="77777777" w:rsidR="005D0020" w:rsidRDefault="005D0020" w:rsidP="001C7CC7">
            <w:r>
              <w:t>3</w:t>
            </w:r>
            <w:r w:rsidRPr="0002255E">
              <w:t>-Jahres-Überleben 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3E816AF2" w14:textId="77777777" w:rsidR="005D0020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</w:rPr>
            </w:pPr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5B60CBB5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A9527A3" w14:textId="77777777" w:rsidR="005D0020" w:rsidRDefault="005D0020" w:rsidP="005A6E4D">
            <w:r>
              <w:t>3.2.4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471E8C34" w14:textId="77777777" w:rsidR="005D0020" w:rsidRDefault="005D0020" w:rsidP="001C7CC7">
            <w:r w:rsidRPr="0002255E">
              <w:t>1-Jahres-Überleben (</w:t>
            </w:r>
            <w:proofErr w:type="spellStart"/>
            <w:r>
              <w:t>Worst</w:t>
            </w:r>
            <w:proofErr w:type="spellEnd"/>
            <w:r>
              <w:t>-Case Analyse</w:t>
            </w:r>
            <w:r w:rsidRPr="0002255E">
              <w:t>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79F5879F" w14:textId="77777777" w:rsidR="005D0020" w:rsidRPr="00A0203B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</w:pPr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15A021ED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2B73BCCA" w14:textId="77777777" w:rsidR="005D0020" w:rsidRDefault="005D0020" w:rsidP="005A6E4D">
            <w:r>
              <w:t>3.2.5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121E69A7" w14:textId="77777777" w:rsidR="005D0020" w:rsidRDefault="005D0020" w:rsidP="001C7CC7">
            <w:r>
              <w:t>2</w:t>
            </w:r>
            <w:r w:rsidRPr="0002255E">
              <w:t>-Jahres-Überleben (</w:t>
            </w:r>
            <w:proofErr w:type="spellStart"/>
            <w:r>
              <w:t>Worst</w:t>
            </w:r>
            <w:proofErr w:type="spellEnd"/>
            <w:r>
              <w:t>-Case Analyse</w:t>
            </w:r>
            <w:r w:rsidRPr="0002255E">
              <w:t>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33C7DE19" w14:textId="77777777" w:rsidR="005D0020" w:rsidRPr="00A0203B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</w:pPr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2FD30DA5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B424775" w14:textId="77777777" w:rsidR="005D0020" w:rsidRDefault="005D0020" w:rsidP="005A6E4D">
            <w:r>
              <w:t>3.2.6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78BC1C7B" w14:textId="77777777" w:rsidR="005D0020" w:rsidRDefault="005D0020" w:rsidP="001C7CC7">
            <w:r>
              <w:t>3</w:t>
            </w:r>
            <w:r w:rsidRPr="0002255E">
              <w:t>-Jahres-Überleben (</w:t>
            </w:r>
            <w:proofErr w:type="spellStart"/>
            <w:r>
              <w:t>Worst</w:t>
            </w:r>
            <w:proofErr w:type="spellEnd"/>
            <w:r>
              <w:t>-Case Analyse)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639D97BD" w14:textId="77777777" w:rsidR="005D0020" w:rsidRPr="00A0203B" w:rsidRDefault="005D0020" w:rsidP="001C7CC7">
            <w:pPr>
              <w:pStyle w:val="EinfacherAbsatz"/>
              <w:spacing w:line="240" w:lineRule="auto"/>
              <w:jc w:val="both"/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</w:pPr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Angabe im Kennzahlenbogen. Kennzahl gemäß Definition des AQUA-Instituts</w:t>
            </w:r>
            <w:r w:rsid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 </w:t>
            </w:r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IQTiG</w:t>
            </w:r>
            <w:proofErr w:type="spellEnd"/>
            <w:r w:rsidRPr="00A0203B">
              <w:rPr>
                <w:rFonts w:ascii="Arial" w:hAnsi="Arial" w:cs="Arial"/>
                <w:color w:val="3366FF"/>
                <w:sz w:val="20"/>
                <w:szCs w:val="20"/>
                <w:lang w:eastAsia="de-DE" w:bidi="he-IL"/>
              </w:rPr>
              <w:t>.</w:t>
            </w:r>
          </w:p>
        </w:tc>
      </w:tr>
      <w:tr w:rsidR="005D0020" w:rsidRPr="00B54E4A" w14:paraId="601A11BA" w14:textId="77777777" w:rsidTr="008D234C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4EBF4091" w14:textId="77777777" w:rsidR="005D0020" w:rsidRPr="00C446BE" w:rsidRDefault="005D0020" w:rsidP="008D234C">
            <w:r>
              <w:t>3.3</w:t>
            </w:r>
          </w:p>
        </w:tc>
        <w:tc>
          <w:tcPr>
            <w:tcW w:w="4566" w:type="pct"/>
            <w:gridSpan w:val="2"/>
            <w:tcMar>
              <w:top w:w="57" w:type="dxa"/>
              <w:bottom w:w="57" w:type="dxa"/>
            </w:tcMar>
          </w:tcPr>
          <w:p w14:paraId="1A1CDB69" w14:textId="77777777" w:rsidR="005D0020" w:rsidRPr="002E7EBF" w:rsidRDefault="005D0020" w:rsidP="008D234C">
            <w:pPr>
              <w:rPr>
                <w:color w:val="3366FF"/>
                <w:lang w:eastAsia="de-DE" w:bidi="he-IL"/>
              </w:rPr>
            </w:pPr>
            <w:r w:rsidRPr="002E7EBF">
              <w:t>Transplantat-</w:t>
            </w:r>
            <w:r>
              <w:t>Versagen</w:t>
            </w:r>
          </w:p>
        </w:tc>
      </w:tr>
      <w:tr w:rsidR="005D0020" w:rsidRPr="00B54E4A" w14:paraId="3095AE9A" w14:textId="77777777" w:rsidTr="008D234C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6326EA74" w14:textId="77777777" w:rsidR="005D0020" w:rsidRDefault="005D0020" w:rsidP="008D234C">
            <w:r>
              <w:t>3.3.1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6FD54D5" w14:textId="77777777" w:rsidR="005D0020" w:rsidRPr="002E7EBF" w:rsidRDefault="005D0020" w:rsidP="008D234C">
            <w:pPr>
              <w:pStyle w:val="berschrift4"/>
              <w:rPr>
                <w:i w:val="0"/>
              </w:rPr>
            </w:pPr>
            <w:r w:rsidRPr="00A0203B">
              <w:rPr>
                <w:i w:val="0"/>
              </w:rPr>
              <w:t>Transplantatversagen innerhalb des 1. Jahres nach</w:t>
            </w:r>
            <w:r w:rsidR="0080280B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Nierentransplantation</w:t>
            </w:r>
            <w:r w:rsidR="00D03474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1FAC506A" w14:textId="77777777" w:rsidR="005D0020" w:rsidRPr="007B34AC" w:rsidRDefault="005D0020" w:rsidP="008D234C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>Angabe im Kennzahlenbogen</w:t>
            </w:r>
            <w:r>
              <w:rPr>
                <w:color w:val="3366FF"/>
                <w:lang w:eastAsia="de-DE" w:bidi="he-IL"/>
              </w:rPr>
              <w:t>. Kennzahl gemäß Definition des AQUA-Instituts</w:t>
            </w:r>
            <w:r w:rsidR="00E4366B">
              <w:rPr>
                <w:color w:val="3366FF"/>
                <w:lang w:eastAsia="de-DE" w:bidi="he-IL"/>
              </w:rPr>
              <w:t xml:space="preserve"> </w:t>
            </w:r>
            <w:r w:rsidR="00E4366B" w:rsidRPr="00E4366B">
              <w:rPr>
                <w:color w:val="3366FF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  <w:tr w:rsidR="005D0020" w:rsidRPr="00B54E4A" w14:paraId="5809F4DE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79581758" w14:textId="77777777" w:rsidR="005D0020" w:rsidRDefault="005D0020" w:rsidP="00C262C2">
            <w:r>
              <w:t>3.3.2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43847D29" w14:textId="77777777" w:rsidR="005D0020" w:rsidRDefault="005D0020" w:rsidP="00A0203B">
            <w:pPr>
              <w:pStyle w:val="berschrift4"/>
              <w:rPr>
                <w:i w:val="0"/>
              </w:rPr>
            </w:pPr>
            <w:r w:rsidRPr="00A0203B">
              <w:rPr>
                <w:i w:val="0"/>
              </w:rPr>
              <w:t>Transplantatversagen innerhalb von 2 Jahren nach</w:t>
            </w:r>
            <w:r w:rsidR="0080280B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Nierentransplantation</w:t>
            </w:r>
            <w:r w:rsidR="00D03474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4CC260D7" w14:textId="77777777" w:rsidR="005D0020" w:rsidRPr="007B34AC" w:rsidRDefault="005D0020" w:rsidP="0002255E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>Angabe im Kennzahlenbogen</w:t>
            </w:r>
            <w:r>
              <w:rPr>
                <w:color w:val="3366FF"/>
                <w:lang w:eastAsia="de-DE" w:bidi="he-IL"/>
              </w:rPr>
              <w:t>. Kennzahl gemäß Definition des AQUA-Instituts</w:t>
            </w:r>
            <w:r w:rsidR="00E4366B">
              <w:rPr>
                <w:color w:val="3366FF"/>
                <w:lang w:eastAsia="de-DE" w:bidi="he-IL"/>
              </w:rPr>
              <w:t xml:space="preserve"> </w:t>
            </w:r>
            <w:r w:rsidR="00E4366B" w:rsidRPr="00E4366B">
              <w:rPr>
                <w:color w:val="3366FF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  <w:tr w:rsidR="005D0020" w:rsidRPr="00B54E4A" w14:paraId="6A8C02A8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103BD8C" w14:textId="77777777" w:rsidR="005D0020" w:rsidRDefault="005D0020" w:rsidP="00C262C2">
            <w:r>
              <w:t>3.3.3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578B4F9E" w14:textId="77777777" w:rsidR="005D0020" w:rsidRDefault="005D0020" w:rsidP="00C262C2">
            <w:pPr>
              <w:pStyle w:val="berschrift4"/>
              <w:rPr>
                <w:i w:val="0"/>
              </w:rPr>
            </w:pPr>
            <w:r w:rsidRPr="00A0203B">
              <w:rPr>
                <w:i w:val="0"/>
              </w:rPr>
              <w:t>Tran</w:t>
            </w:r>
            <w:r>
              <w:rPr>
                <w:i w:val="0"/>
              </w:rPr>
              <w:t>splantatversagen innerhalb von 3</w:t>
            </w:r>
            <w:r w:rsidRPr="00A0203B">
              <w:rPr>
                <w:i w:val="0"/>
              </w:rPr>
              <w:t xml:space="preserve"> Jahren nach</w:t>
            </w:r>
            <w:r w:rsidR="0080280B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Nierentransplantation</w:t>
            </w:r>
            <w:r w:rsidR="00D03474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(bei bekanntem Status)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167A3D3D" w14:textId="77777777" w:rsidR="005D0020" w:rsidRPr="007B34AC" w:rsidRDefault="005D0020" w:rsidP="0002255E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>Angabe im Kennzahlenbogen</w:t>
            </w:r>
            <w:r>
              <w:rPr>
                <w:color w:val="3366FF"/>
                <w:lang w:eastAsia="de-DE" w:bidi="he-IL"/>
              </w:rPr>
              <w:t>. Kennzahl gemäß Definition des AQUA-Instituts</w:t>
            </w:r>
            <w:r w:rsidR="00E4366B">
              <w:rPr>
                <w:color w:val="3366FF"/>
                <w:lang w:eastAsia="de-DE" w:bidi="he-IL"/>
              </w:rPr>
              <w:t xml:space="preserve"> </w:t>
            </w:r>
            <w:r w:rsidR="00E4366B" w:rsidRPr="00E4366B">
              <w:rPr>
                <w:color w:val="3366FF"/>
                <w:lang w:eastAsia="de-DE" w:bidi="he-IL"/>
              </w:rPr>
              <w:t xml:space="preserve">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  <w:tr w:rsidR="005D0020" w:rsidRPr="00B54E4A" w14:paraId="4ECE0C42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84EDB66" w14:textId="77777777" w:rsidR="005D0020" w:rsidRDefault="005D0020" w:rsidP="00C262C2">
            <w:r>
              <w:t>3.4</w:t>
            </w:r>
          </w:p>
        </w:tc>
        <w:tc>
          <w:tcPr>
            <w:tcW w:w="4566" w:type="pct"/>
            <w:gridSpan w:val="2"/>
            <w:tcMar>
              <w:top w:w="57" w:type="dxa"/>
              <w:bottom w:w="57" w:type="dxa"/>
            </w:tcMar>
          </w:tcPr>
          <w:p w14:paraId="24438EE7" w14:textId="77777777" w:rsidR="005D0020" w:rsidRPr="002E7EBF" w:rsidRDefault="005D0020" w:rsidP="0002255E">
            <w:pPr>
              <w:rPr>
                <w:color w:val="3366FF"/>
                <w:lang w:eastAsia="de-DE" w:bidi="he-IL"/>
              </w:rPr>
            </w:pPr>
            <w:r w:rsidRPr="002E7EBF">
              <w:t>Transplantat-Funktion</w:t>
            </w:r>
          </w:p>
        </w:tc>
      </w:tr>
      <w:tr w:rsidR="005D0020" w:rsidRPr="00B54E4A" w14:paraId="22C5C4B4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51B91FBC" w14:textId="77777777" w:rsidR="005D0020" w:rsidRDefault="005D0020" w:rsidP="00C262C2">
            <w:r>
              <w:t>3.4.1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46034E61" w14:textId="77777777" w:rsidR="005D0020" w:rsidRPr="002E7EBF" w:rsidRDefault="005D0020" w:rsidP="002E7EBF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Qualität der Transplantatfunktion (1 Jahr nach Transplantation)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07E2CC56" w14:textId="77777777" w:rsidR="005D0020" w:rsidRPr="007B34AC" w:rsidRDefault="005D0020" w:rsidP="0002255E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>Angabe im Kennzahlenbogen</w:t>
            </w:r>
            <w:r>
              <w:rPr>
                <w:color w:val="3366FF"/>
                <w:lang w:eastAsia="de-DE" w:bidi="he-IL"/>
              </w:rPr>
              <w:t>. Kennzahl gemäß Definition des AQUA-Instituts</w:t>
            </w:r>
            <w:r w:rsidR="00E4366B" w:rsidRPr="00E4366B">
              <w:rPr>
                <w:color w:val="3366FF"/>
                <w:lang w:eastAsia="de-DE" w:bidi="he-IL"/>
              </w:rPr>
              <w:t xml:space="preserve"> 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  <w:tr w:rsidR="005D0020" w:rsidRPr="00B54E4A" w14:paraId="386D277A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1817EF7B" w14:textId="77777777" w:rsidR="005D0020" w:rsidRDefault="005D0020" w:rsidP="00C262C2">
            <w:r>
              <w:t>3.4.2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694AFD19" w14:textId="77777777" w:rsidR="005D0020" w:rsidRPr="002E7EBF" w:rsidRDefault="005D0020" w:rsidP="002E7EBF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</w:t>
            </w:r>
            <w:r>
              <w:rPr>
                <w:i w:val="0"/>
              </w:rPr>
              <w:t>ität der Transplantatfunktion (2</w:t>
            </w:r>
            <w:r w:rsidRPr="002E7EBF">
              <w:rPr>
                <w:i w:val="0"/>
              </w:rPr>
              <w:t xml:space="preserve"> Jahr</w:t>
            </w:r>
            <w:r>
              <w:rPr>
                <w:i w:val="0"/>
              </w:rPr>
              <w:t>e</w:t>
            </w:r>
            <w:r w:rsidRPr="002E7EBF">
              <w:rPr>
                <w:i w:val="0"/>
              </w:rPr>
              <w:t xml:space="preserve"> nach Transplantation)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7CDCA9DB" w14:textId="77777777" w:rsidR="005D0020" w:rsidRPr="007B34AC" w:rsidRDefault="005D0020" w:rsidP="0002255E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 xml:space="preserve">Angabe im </w:t>
            </w:r>
            <w:r w:rsidRPr="00F20D20">
              <w:rPr>
                <w:color w:val="3366FF"/>
                <w:lang w:eastAsia="de-DE" w:bidi="he-IL"/>
              </w:rPr>
              <w:t>Kennzahlenbogen. Kennzahl gemäß Definition des AQUA-</w:t>
            </w:r>
            <w:r>
              <w:rPr>
                <w:color w:val="3366FF"/>
                <w:lang w:eastAsia="de-DE" w:bidi="he-IL"/>
              </w:rPr>
              <w:t>Instituts</w:t>
            </w:r>
            <w:r w:rsidR="00E4366B" w:rsidRPr="00E4366B">
              <w:rPr>
                <w:color w:val="3366FF"/>
                <w:lang w:eastAsia="de-DE" w:bidi="he-IL"/>
              </w:rPr>
              <w:t xml:space="preserve"> 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  <w:tr w:rsidR="005D0020" w:rsidRPr="00B54E4A" w14:paraId="5F8729D3" w14:textId="77777777" w:rsidTr="002E7EBF">
        <w:trPr>
          <w:cantSplit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4E9042F8" w14:textId="77777777" w:rsidR="005D0020" w:rsidRDefault="005D0020" w:rsidP="00C262C2">
            <w:r>
              <w:t>3.4.3</w:t>
            </w:r>
          </w:p>
        </w:tc>
        <w:tc>
          <w:tcPr>
            <w:tcW w:w="2281" w:type="pct"/>
            <w:tcMar>
              <w:top w:w="57" w:type="dxa"/>
              <w:bottom w:w="57" w:type="dxa"/>
            </w:tcMar>
          </w:tcPr>
          <w:p w14:paraId="0F660128" w14:textId="77777777" w:rsidR="005D0020" w:rsidRPr="002E7EBF" w:rsidRDefault="005D0020" w:rsidP="002E7EBF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</w:t>
            </w:r>
            <w:r>
              <w:rPr>
                <w:i w:val="0"/>
              </w:rPr>
              <w:t>ität der Transplantatfunktion (3</w:t>
            </w:r>
            <w:r w:rsidRPr="002E7EBF">
              <w:rPr>
                <w:i w:val="0"/>
              </w:rPr>
              <w:t xml:space="preserve"> Jahr</w:t>
            </w:r>
            <w:r>
              <w:rPr>
                <w:i w:val="0"/>
              </w:rPr>
              <w:t>e</w:t>
            </w:r>
            <w:r w:rsidRPr="002E7EBF">
              <w:rPr>
                <w:i w:val="0"/>
              </w:rPr>
              <w:t xml:space="preserve"> nach Transplantation)</w:t>
            </w:r>
          </w:p>
        </w:tc>
        <w:tc>
          <w:tcPr>
            <w:tcW w:w="2285" w:type="pct"/>
            <w:tcMar>
              <w:top w:w="57" w:type="dxa"/>
              <w:bottom w:w="57" w:type="dxa"/>
            </w:tcMar>
          </w:tcPr>
          <w:p w14:paraId="574725EF" w14:textId="77777777" w:rsidR="005D0020" w:rsidRPr="007B34AC" w:rsidRDefault="005D0020" w:rsidP="0002255E">
            <w:pPr>
              <w:rPr>
                <w:color w:val="3366FF"/>
                <w:lang w:eastAsia="de-DE" w:bidi="he-IL"/>
              </w:rPr>
            </w:pPr>
            <w:r w:rsidRPr="007B34AC">
              <w:rPr>
                <w:color w:val="3366FF"/>
                <w:lang w:eastAsia="de-DE" w:bidi="he-IL"/>
              </w:rPr>
              <w:t>Angabe im Kennzahlenbogen</w:t>
            </w:r>
            <w:r>
              <w:rPr>
                <w:color w:val="3366FF"/>
                <w:lang w:eastAsia="de-DE" w:bidi="he-IL"/>
              </w:rPr>
              <w:t>. Kennzahl gemäß Definition des AQUA-Instituts</w:t>
            </w:r>
            <w:r w:rsidR="00E4366B" w:rsidRPr="00E4366B">
              <w:rPr>
                <w:color w:val="3366FF"/>
                <w:lang w:eastAsia="de-DE" w:bidi="he-IL"/>
              </w:rPr>
              <w:t xml:space="preserve"> bzw. des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  <w:r>
              <w:rPr>
                <w:color w:val="3366FF"/>
                <w:lang w:eastAsia="de-DE" w:bidi="he-IL"/>
              </w:rPr>
              <w:t>.</w:t>
            </w:r>
          </w:p>
        </w:tc>
      </w:tr>
    </w:tbl>
    <w:p w14:paraId="5F5C61FC" w14:textId="77777777" w:rsidR="005D0020" w:rsidRDefault="005D0020">
      <w:pPr>
        <w:rPr>
          <w:rFonts w:cs="Times New Roman"/>
          <w:b/>
          <w:bCs/>
          <w:kern w:val="32"/>
          <w:szCs w:val="32"/>
        </w:rPr>
      </w:pPr>
      <w:bookmarkStart w:id="4" w:name="_Toc364770139"/>
      <w:r>
        <w:br w:type="page"/>
      </w:r>
    </w:p>
    <w:p w14:paraId="7627F4AF" w14:textId="77777777" w:rsidR="005D0020" w:rsidRPr="00DB45FF" w:rsidRDefault="005D0020" w:rsidP="00DB45FF">
      <w:pPr>
        <w:pStyle w:val="berschrift1"/>
      </w:pPr>
      <w:r w:rsidRPr="00DB45FF">
        <w:lastRenderedPageBreak/>
        <w:t>Kennzahlenbogen</w:t>
      </w:r>
      <w:bookmarkEnd w:id="4"/>
    </w:p>
    <w:p w14:paraId="75E2CC3E" w14:textId="77777777" w:rsidR="005D0020" w:rsidRDefault="005D0020" w:rsidP="00FB22A6">
      <w:pPr>
        <w:jc w:val="both"/>
        <w:rPr>
          <w:b/>
          <w:sz w:val="18"/>
          <w:szCs w:val="18"/>
          <w:shd w:val="clear" w:color="auto" w:fill="FFFF99"/>
        </w:rPr>
      </w:pPr>
    </w:p>
    <w:p w14:paraId="18C24B4E" w14:textId="77777777" w:rsidR="005D0020" w:rsidRDefault="005D0020" w:rsidP="00FB22A6">
      <w:pPr>
        <w:jc w:val="both"/>
      </w:pPr>
    </w:p>
    <w:p w14:paraId="70CFAEA6" w14:textId="77777777" w:rsidR="005D0020" w:rsidRDefault="005D0020" w:rsidP="00FB22A6">
      <w:pPr>
        <w:jc w:val="both"/>
        <w:rPr>
          <w:b/>
          <w:sz w:val="18"/>
          <w:szCs w:val="18"/>
        </w:rPr>
      </w:pPr>
      <w:r w:rsidRPr="009E0782">
        <w:rPr>
          <w:b/>
          <w:sz w:val="18"/>
          <w:szCs w:val="18"/>
        </w:rPr>
        <w:t>Alle Kennzahlen beziehen sich auf das Kalenderjahr vor dem Auditjahr.</w:t>
      </w:r>
    </w:p>
    <w:p w14:paraId="6A6C02CC" w14:textId="77777777" w:rsidR="005D0020" w:rsidRDefault="005D0020" w:rsidP="00F723EF"/>
    <w:p w14:paraId="4CB44CE9" w14:textId="77777777" w:rsidR="005D0020" w:rsidRDefault="005D0020" w:rsidP="00FB22A6">
      <w:pPr>
        <w:jc w:val="both"/>
        <w:rPr>
          <w:b/>
          <w:sz w:val="16"/>
          <w:szCs w:val="18"/>
          <w:shd w:val="clear" w:color="auto" w:fill="FFFF99"/>
        </w:rPr>
      </w:pPr>
      <w:r>
        <w:rPr>
          <w:b/>
          <w:sz w:val="18"/>
          <w:szCs w:val="18"/>
        </w:rPr>
        <w:t xml:space="preserve">Den Anforderungen und Erhebungen entsprechend werden die Items teilweise nicht mit Minimalanforderungen oder Richtwerten versehen. Das Vorhandensein der grundsätzlich den Nephrologischen Schwerpunktklinik </w:t>
      </w:r>
      <w:r w:rsidR="00134F5A">
        <w:rPr>
          <w:b/>
          <w:sz w:val="18"/>
          <w:szCs w:val="18"/>
        </w:rPr>
        <w:t xml:space="preserve">DGfN </w:t>
      </w:r>
      <w:r>
        <w:rPr>
          <w:b/>
          <w:sz w:val="18"/>
          <w:szCs w:val="18"/>
        </w:rPr>
        <w:t xml:space="preserve">mit </w:t>
      </w:r>
      <w:r w:rsidR="00F1105E" w:rsidRPr="00E7467A">
        <w:rPr>
          <w:b/>
          <w:bCs/>
        </w:rPr>
        <w:t>Zentrum für Nierentransplantation DGfN</w:t>
      </w:r>
      <w:r w:rsidR="00F1105E" w:rsidDel="00F1105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zuzuordnenden Module gilt jedoch als Voraussetzung zur Zertifizierung.</w:t>
      </w:r>
    </w:p>
    <w:p w14:paraId="3BF769B3" w14:textId="77777777" w:rsidR="005D0020" w:rsidRDefault="005D0020" w:rsidP="00FB22A6">
      <w:pPr>
        <w:jc w:val="both"/>
        <w:rPr>
          <w:b/>
          <w:sz w:val="16"/>
          <w:szCs w:val="18"/>
          <w:shd w:val="clear" w:color="auto" w:fill="FFFF99"/>
        </w:rPr>
      </w:pPr>
    </w:p>
    <w:p w14:paraId="1D9ED6D0" w14:textId="77777777" w:rsidR="005D0020" w:rsidRPr="00784A11" w:rsidRDefault="005D0020" w:rsidP="00FB22A6">
      <w:pPr>
        <w:jc w:val="both"/>
        <w:rPr>
          <w:b/>
          <w:sz w:val="16"/>
          <w:szCs w:val="18"/>
          <w:shd w:val="clear" w:color="auto" w:fill="FFFF99"/>
        </w:rPr>
      </w:pPr>
    </w:p>
    <w:p w14:paraId="71A3BAC8" w14:textId="77777777" w:rsidR="005D0020" w:rsidRPr="00851C9F" w:rsidRDefault="005D0020" w:rsidP="00FB22A6">
      <w:pPr>
        <w:jc w:val="both"/>
        <w:rPr>
          <w:b/>
        </w:rPr>
      </w:pPr>
      <w:r w:rsidRPr="00851C9F">
        <w:rPr>
          <w:b/>
        </w:rPr>
        <w:t>Kennzahlendefinition / Sollvorgabe</w:t>
      </w:r>
    </w:p>
    <w:p w14:paraId="314186F7" w14:textId="77777777" w:rsidR="005D0020" w:rsidRPr="00784A11" w:rsidRDefault="005D0020" w:rsidP="00FB22A6">
      <w:pPr>
        <w:jc w:val="both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781"/>
        <w:gridCol w:w="3084"/>
        <w:gridCol w:w="2261"/>
        <w:gridCol w:w="1990"/>
        <w:gridCol w:w="1129"/>
      </w:tblGrid>
      <w:tr w:rsidR="005D0020" w:rsidRPr="00CA492B" w14:paraId="0410159C" w14:textId="77777777" w:rsidTr="001E2A0C">
        <w:trPr>
          <w:tblHeader/>
        </w:trPr>
        <w:tc>
          <w:tcPr>
            <w:tcW w:w="252" w:type="pct"/>
            <w:shd w:val="clear" w:color="auto" w:fill="E6E6E6"/>
            <w:vAlign w:val="center"/>
          </w:tcPr>
          <w:p w14:paraId="39E37265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401" w:type="pct"/>
            <w:shd w:val="clear" w:color="auto" w:fill="E6E6E6"/>
            <w:vAlign w:val="center"/>
          </w:tcPr>
          <w:p w14:paraId="65A85D2A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EB</w:t>
            </w:r>
          </w:p>
        </w:tc>
        <w:tc>
          <w:tcPr>
            <w:tcW w:w="1584" w:type="pct"/>
            <w:shd w:val="clear" w:color="auto" w:fill="E6E6E6"/>
            <w:vAlign w:val="center"/>
          </w:tcPr>
          <w:p w14:paraId="070AF13F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Kennzahl</w:t>
            </w:r>
          </w:p>
        </w:tc>
        <w:tc>
          <w:tcPr>
            <w:tcW w:w="1161" w:type="pct"/>
            <w:shd w:val="clear" w:color="auto" w:fill="E6E6E6"/>
            <w:vAlign w:val="center"/>
          </w:tcPr>
          <w:p w14:paraId="49D5C152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Anzahl / Zähler</w:t>
            </w:r>
          </w:p>
        </w:tc>
        <w:tc>
          <w:tcPr>
            <w:tcW w:w="1022" w:type="pct"/>
            <w:shd w:val="clear" w:color="auto" w:fill="E6E6E6"/>
            <w:vAlign w:val="center"/>
          </w:tcPr>
          <w:p w14:paraId="286652EA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Richtwerte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7887929A" w14:textId="77777777" w:rsidR="005D0020" w:rsidRPr="00CA492B" w:rsidRDefault="005D0020" w:rsidP="00160305">
            <w:pPr>
              <w:jc w:val="center"/>
              <w:rPr>
                <w:b/>
                <w:sz w:val="18"/>
                <w:szCs w:val="18"/>
              </w:rPr>
            </w:pPr>
            <w:r w:rsidRPr="00CA492B">
              <w:rPr>
                <w:b/>
                <w:sz w:val="18"/>
                <w:szCs w:val="18"/>
              </w:rPr>
              <w:t>Anzahl / Zähler</w:t>
            </w:r>
          </w:p>
        </w:tc>
      </w:tr>
      <w:tr w:rsidR="005D0020" w:rsidRPr="00412BDC" w14:paraId="5FAA1F71" w14:textId="77777777" w:rsidTr="001E2A0C">
        <w:tc>
          <w:tcPr>
            <w:tcW w:w="252" w:type="pct"/>
          </w:tcPr>
          <w:p w14:paraId="7819B84B" w14:textId="77777777" w:rsidR="005D0020" w:rsidRPr="00412BDC" w:rsidRDefault="005D0020" w:rsidP="00DB45FF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0DBFFF0C" w14:textId="77777777" w:rsidR="005D0020" w:rsidRPr="00412BDC" w:rsidRDefault="005D0020" w:rsidP="00DB45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84" w:type="pct"/>
          </w:tcPr>
          <w:p w14:paraId="19A8351F" w14:textId="77777777" w:rsidR="005D0020" w:rsidRPr="005A6E4D" w:rsidRDefault="005D0020" w:rsidP="0051388B">
            <w:pPr>
              <w:rPr>
                <w:i/>
              </w:rPr>
            </w:pPr>
            <w:r>
              <w:t xml:space="preserve">Anzahl nierentransplantierter Patienten der letzten 3 Jahre. </w:t>
            </w:r>
          </w:p>
        </w:tc>
        <w:tc>
          <w:tcPr>
            <w:tcW w:w="1161" w:type="pct"/>
          </w:tcPr>
          <w:p w14:paraId="650A9DDB" w14:textId="77777777" w:rsidR="005D0020" w:rsidRPr="00740CAC" w:rsidRDefault="005D0020" w:rsidP="00740CAC">
            <w:pPr>
              <w:pStyle w:val="berschrift4"/>
            </w:pPr>
            <w:r>
              <w:rPr>
                <w:rFonts w:cs="Arial"/>
                <w:i w:val="0"/>
              </w:rPr>
              <w:t>Anzahl</w:t>
            </w:r>
          </w:p>
        </w:tc>
        <w:tc>
          <w:tcPr>
            <w:tcW w:w="1022" w:type="pct"/>
          </w:tcPr>
          <w:p w14:paraId="6356D238" w14:textId="77777777" w:rsidR="005D0020" w:rsidRPr="005A6E4D" w:rsidRDefault="005D0020" w:rsidP="00943E5A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B56206">
              <w:rPr>
                <w:sz w:val="18"/>
                <w:szCs w:val="18"/>
              </w:rPr>
              <w:t>Keine Vorgaben</w:t>
            </w:r>
          </w:p>
        </w:tc>
        <w:tc>
          <w:tcPr>
            <w:tcW w:w="580" w:type="pct"/>
            <w:shd w:val="clear" w:color="auto" w:fill="CCFFCC"/>
          </w:tcPr>
          <w:p w14:paraId="14CB8B42" w14:textId="77777777" w:rsidR="005D0020" w:rsidRPr="00412BDC" w:rsidRDefault="005D0020" w:rsidP="00DB45FF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2D2ADFC5" w14:textId="77777777" w:rsidTr="001E2A0C">
        <w:tc>
          <w:tcPr>
            <w:tcW w:w="252" w:type="pct"/>
          </w:tcPr>
          <w:p w14:paraId="1C85224C" w14:textId="77777777" w:rsidR="005D0020" w:rsidRPr="00412BDC" w:rsidRDefault="005D0020" w:rsidP="00DB45FF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3A8174D5" w14:textId="77777777" w:rsidR="005D0020" w:rsidRPr="00412BDC" w:rsidRDefault="005D0020" w:rsidP="00DB45F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84" w:type="pct"/>
          </w:tcPr>
          <w:p w14:paraId="136BE433" w14:textId="77777777" w:rsidR="005D0020" w:rsidRDefault="005D0020" w:rsidP="0051388B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Anzahl der Lebendspender in den letzten 3 Jahren.</w:t>
            </w:r>
          </w:p>
        </w:tc>
        <w:tc>
          <w:tcPr>
            <w:tcW w:w="1161" w:type="pct"/>
          </w:tcPr>
          <w:p w14:paraId="2D1E43AF" w14:textId="77777777" w:rsidR="005D0020" w:rsidRPr="00DB0F23" w:rsidRDefault="005D0020" w:rsidP="00740CAC">
            <w:pPr>
              <w:pStyle w:val="berschrift4"/>
              <w:rPr>
                <w:sz w:val="18"/>
                <w:szCs w:val="18"/>
              </w:rPr>
            </w:pPr>
            <w:r>
              <w:rPr>
                <w:rFonts w:cs="Arial"/>
                <w:i w:val="0"/>
              </w:rPr>
              <w:t>Anzahl</w:t>
            </w:r>
          </w:p>
        </w:tc>
        <w:tc>
          <w:tcPr>
            <w:tcW w:w="1022" w:type="pct"/>
          </w:tcPr>
          <w:p w14:paraId="7D174B2A" w14:textId="77777777" w:rsidR="005D0020" w:rsidRPr="005A6E4D" w:rsidRDefault="005D0020" w:rsidP="001714A9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B56206">
              <w:rPr>
                <w:sz w:val="18"/>
                <w:szCs w:val="18"/>
              </w:rPr>
              <w:t>Keine Vorgaben</w:t>
            </w:r>
          </w:p>
        </w:tc>
        <w:tc>
          <w:tcPr>
            <w:tcW w:w="580" w:type="pct"/>
            <w:shd w:val="clear" w:color="auto" w:fill="CCFFCC"/>
          </w:tcPr>
          <w:p w14:paraId="01AB8C1D" w14:textId="77777777" w:rsidR="005D0020" w:rsidRPr="00412BDC" w:rsidRDefault="005D0020" w:rsidP="00DB45FF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18406C" w14:paraId="5A76F155" w14:textId="77777777" w:rsidTr="001E2A0C">
        <w:tc>
          <w:tcPr>
            <w:tcW w:w="252" w:type="pct"/>
          </w:tcPr>
          <w:p w14:paraId="60D75AFD" w14:textId="77777777" w:rsidR="005D0020" w:rsidRPr="0018406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40CA8542" w14:textId="77777777" w:rsidR="005D0020" w:rsidRPr="0018406C" w:rsidRDefault="005D0020" w:rsidP="004F20D9">
            <w:pPr>
              <w:spacing w:before="60" w:after="60"/>
              <w:rPr>
                <w:sz w:val="18"/>
                <w:szCs w:val="18"/>
              </w:rPr>
            </w:pPr>
            <w:r w:rsidRPr="0018406C">
              <w:rPr>
                <w:sz w:val="18"/>
                <w:szCs w:val="18"/>
              </w:rPr>
              <w:t>3.2.1</w:t>
            </w:r>
          </w:p>
        </w:tc>
        <w:tc>
          <w:tcPr>
            <w:tcW w:w="1584" w:type="pct"/>
          </w:tcPr>
          <w:p w14:paraId="34671DA7" w14:textId="77777777" w:rsidR="005D0020" w:rsidRPr="0018406C" w:rsidRDefault="005D0020" w:rsidP="004F20D9">
            <w:pPr>
              <w:pStyle w:val="berschrift4"/>
              <w:rPr>
                <w:rFonts w:cs="Arial"/>
                <w:i w:val="0"/>
              </w:rPr>
            </w:pPr>
            <w:r w:rsidRPr="00440591">
              <w:rPr>
                <w:i w:val="0"/>
              </w:rPr>
              <w:t>1-Jahres-Überleben (bei bekanntem Status)</w:t>
            </w:r>
          </w:p>
        </w:tc>
        <w:tc>
          <w:tcPr>
            <w:tcW w:w="1161" w:type="pct"/>
          </w:tcPr>
          <w:p w14:paraId="72E95FFD" w14:textId="77777777" w:rsidR="005D0020" w:rsidRPr="0018406C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 w:rsidRPr="0018406C"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7E146252" w14:textId="77777777" w:rsidR="005D0020" w:rsidRPr="0018406C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18406C">
              <w:rPr>
                <w:color w:val="3366FF"/>
                <w:sz w:val="18"/>
                <w:szCs w:val="18"/>
              </w:rPr>
              <w:t>Analog zu AQUA</w:t>
            </w:r>
            <w:r w:rsidR="00E4366B">
              <w:rPr>
                <w:color w:val="3366FF"/>
                <w:sz w:val="18"/>
                <w:szCs w:val="18"/>
              </w:rPr>
              <w:t xml:space="preserve"> </w:t>
            </w:r>
            <w:r w:rsidR="00E4366B" w:rsidRPr="00E4366B">
              <w:rPr>
                <w:color w:val="3366FF"/>
                <w:lang w:eastAsia="de-DE" w:bidi="he-IL"/>
              </w:rPr>
              <w:t xml:space="preserve">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6F0CD5E7" w14:textId="77777777" w:rsidR="005D0020" w:rsidRPr="0018406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0CC10220" w14:textId="77777777" w:rsidTr="001E2A0C">
        <w:tc>
          <w:tcPr>
            <w:tcW w:w="252" w:type="pct"/>
          </w:tcPr>
          <w:p w14:paraId="201531CF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68248333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1584" w:type="pct"/>
          </w:tcPr>
          <w:p w14:paraId="5BCA33C9" w14:textId="77777777" w:rsidR="005D0020" w:rsidRPr="00A0203B" w:rsidRDefault="005D0020" w:rsidP="004F20D9">
            <w:pPr>
              <w:rPr>
                <w:lang w:eastAsia="de-DE" w:bidi="he-IL"/>
              </w:rPr>
            </w:pPr>
            <w:r>
              <w:t>2</w:t>
            </w:r>
            <w:r w:rsidRPr="0002255E">
              <w:t>-Jahres-Überleben (bei bekanntem Status)</w:t>
            </w:r>
          </w:p>
        </w:tc>
        <w:tc>
          <w:tcPr>
            <w:tcW w:w="1161" w:type="pct"/>
          </w:tcPr>
          <w:p w14:paraId="77319450" w14:textId="77777777" w:rsidR="005D0020" w:rsidRPr="005F57B9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4413A94A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>
              <w:rPr>
                <w:color w:val="3366FF"/>
                <w:sz w:val="18"/>
                <w:szCs w:val="18"/>
              </w:rPr>
              <w:t xml:space="preserve"> </w:t>
            </w:r>
            <w:r w:rsidR="00E4366B" w:rsidRPr="00E4366B">
              <w:rPr>
                <w:color w:val="3366FF"/>
                <w:lang w:eastAsia="de-DE" w:bidi="he-IL"/>
              </w:rPr>
              <w:t xml:space="preserve">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415248D6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510D608B" w14:textId="77777777" w:rsidTr="001E2A0C">
        <w:tc>
          <w:tcPr>
            <w:tcW w:w="252" w:type="pct"/>
          </w:tcPr>
          <w:p w14:paraId="637B4AEF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0BF68D57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1584" w:type="pct"/>
          </w:tcPr>
          <w:p w14:paraId="0C990645" w14:textId="77777777" w:rsidR="005D0020" w:rsidRDefault="005D0020" w:rsidP="004F20D9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3</w:t>
            </w:r>
            <w:r w:rsidRPr="0002255E">
              <w:rPr>
                <w:i w:val="0"/>
              </w:rPr>
              <w:t>-Jahres-Überleben (bei bekanntem Status)</w:t>
            </w:r>
          </w:p>
        </w:tc>
        <w:tc>
          <w:tcPr>
            <w:tcW w:w="1161" w:type="pct"/>
          </w:tcPr>
          <w:p w14:paraId="6592395D" w14:textId="77777777" w:rsidR="005D0020" w:rsidRPr="00DB0F23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35AF9CBF" w14:textId="77777777" w:rsidR="005D0020" w:rsidRPr="005A6E4D" w:rsidRDefault="005D0020" w:rsidP="004F20D9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2D1D1DCF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70053FEA" w14:textId="77777777" w:rsidTr="001E2A0C">
        <w:tc>
          <w:tcPr>
            <w:tcW w:w="252" w:type="pct"/>
          </w:tcPr>
          <w:p w14:paraId="093DA63E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1D1F41A9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</w:t>
            </w:r>
          </w:p>
        </w:tc>
        <w:tc>
          <w:tcPr>
            <w:tcW w:w="1584" w:type="pct"/>
          </w:tcPr>
          <w:p w14:paraId="5326BF85" w14:textId="77777777" w:rsidR="005D0020" w:rsidRPr="005A13FB" w:rsidRDefault="005D0020" w:rsidP="004F20D9">
            <w:pPr>
              <w:pStyle w:val="berschrift4"/>
              <w:rPr>
                <w:rFonts w:cs="Arial"/>
                <w:i w:val="0"/>
              </w:rPr>
            </w:pPr>
            <w:r w:rsidRPr="001F672D">
              <w:rPr>
                <w:i w:val="0"/>
              </w:rPr>
              <w:t>1-Jahres-Überleben (</w:t>
            </w:r>
            <w:proofErr w:type="spellStart"/>
            <w:r w:rsidRPr="001F672D">
              <w:rPr>
                <w:i w:val="0"/>
              </w:rPr>
              <w:t>Worst</w:t>
            </w:r>
            <w:proofErr w:type="spellEnd"/>
            <w:r w:rsidRPr="001F672D">
              <w:rPr>
                <w:i w:val="0"/>
              </w:rPr>
              <w:t>-Case Analyse)</w:t>
            </w:r>
          </w:p>
        </w:tc>
        <w:tc>
          <w:tcPr>
            <w:tcW w:w="1161" w:type="pct"/>
          </w:tcPr>
          <w:p w14:paraId="108E23F7" w14:textId="77777777" w:rsidR="005D0020" w:rsidRPr="00DB0F23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38067B9F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6BC141C6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5BADE2DB" w14:textId="77777777" w:rsidTr="001E2A0C">
        <w:tc>
          <w:tcPr>
            <w:tcW w:w="252" w:type="pct"/>
          </w:tcPr>
          <w:p w14:paraId="1471DEEF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6F823217" w14:textId="77777777" w:rsidR="005D0020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</w:tc>
        <w:tc>
          <w:tcPr>
            <w:tcW w:w="1584" w:type="pct"/>
          </w:tcPr>
          <w:p w14:paraId="70C89031" w14:textId="77777777" w:rsidR="005D0020" w:rsidRPr="001F672D" w:rsidRDefault="005D0020" w:rsidP="004F20D9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2</w:t>
            </w:r>
            <w:r w:rsidRPr="001F672D">
              <w:rPr>
                <w:i w:val="0"/>
              </w:rPr>
              <w:t>-Jahres-Überleben (</w:t>
            </w:r>
            <w:proofErr w:type="spellStart"/>
            <w:r w:rsidRPr="001F672D">
              <w:rPr>
                <w:i w:val="0"/>
              </w:rPr>
              <w:t>Worst</w:t>
            </w:r>
            <w:proofErr w:type="spellEnd"/>
            <w:r w:rsidRPr="001F672D">
              <w:rPr>
                <w:i w:val="0"/>
              </w:rPr>
              <w:t>-Case Analyse)</w:t>
            </w:r>
          </w:p>
        </w:tc>
        <w:tc>
          <w:tcPr>
            <w:tcW w:w="1161" w:type="pct"/>
          </w:tcPr>
          <w:p w14:paraId="5950A11C" w14:textId="77777777" w:rsidR="005D0020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05418C03" w14:textId="77777777" w:rsidR="005D0020" w:rsidRPr="00F20D20" w:rsidRDefault="005D0020" w:rsidP="004F20D9">
            <w:pPr>
              <w:spacing w:before="60" w:after="60"/>
              <w:rPr>
                <w:color w:val="3366FF"/>
                <w:sz w:val="18"/>
                <w:szCs w:val="18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3EA50497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1330F629" w14:textId="77777777" w:rsidTr="001E2A0C">
        <w:tc>
          <w:tcPr>
            <w:tcW w:w="252" w:type="pct"/>
          </w:tcPr>
          <w:p w14:paraId="38E4C8C5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3BF705E8" w14:textId="77777777" w:rsidR="005D0020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</w:t>
            </w:r>
          </w:p>
        </w:tc>
        <w:tc>
          <w:tcPr>
            <w:tcW w:w="1584" w:type="pct"/>
          </w:tcPr>
          <w:p w14:paraId="0EAA750B" w14:textId="77777777" w:rsidR="005D0020" w:rsidRDefault="005D0020" w:rsidP="004F20D9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3</w:t>
            </w:r>
            <w:r w:rsidRPr="001F672D">
              <w:rPr>
                <w:i w:val="0"/>
              </w:rPr>
              <w:t>-Jahres-Überleben (</w:t>
            </w:r>
            <w:proofErr w:type="spellStart"/>
            <w:r w:rsidRPr="001F672D">
              <w:rPr>
                <w:i w:val="0"/>
              </w:rPr>
              <w:t>Worst</w:t>
            </w:r>
            <w:proofErr w:type="spellEnd"/>
            <w:r w:rsidRPr="001F672D">
              <w:rPr>
                <w:i w:val="0"/>
              </w:rPr>
              <w:t>-Case Analyse)</w:t>
            </w:r>
          </w:p>
        </w:tc>
        <w:tc>
          <w:tcPr>
            <w:tcW w:w="1161" w:type="pct"/>
          </w:tcPr>
          <w:p w14:paraId="3C58DFB8" w14:textId="77777777" w:rsidR="005D0020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388B5C94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556B5F39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66A46819" w14:textId="77777777" w:rsidTr="001E2A0C">
        <w:tc>
          <w:tcPr>
            <w:tcW w:w="252" w:type="pct"/>
          </w:tcPr>
          <w:p w14:paraId="58603E50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F435E79" w14:textId="77777777" w:rsidR="005D0020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1584" w:type="pct"/>
          </w:tcPr>
          <w:p w14:paraId="568C38DF" w14:textId="77777777" w:rsidR="005D0020" w:rsidRDefault="005D0020" w:rsidP="004F20D9">
            <w:pPr>
              <w:pStyle w:val="berschrift4"/>
              <w:rPr>
                <w:i w:val="0"/>
              </w:rPr>
            </w:pPr>
            <w:r w:rsidRPr="00230933">
              <w:rPr>
                <w:i w:val="0"/>
              </w:rPr>
              <w:t>Transplantatversagen innerhalb des 1. Jahres nach Nierentransplantation (bei bekanntem Status)</w:t>
            </w:r>
          </w:p>
        </w:tc>
        <w:tc>
          <w:tcPr>
            <w:tcW w:w="1161" w:type="pct"/>
          </w:tcPr>
          <w:p w14:paraId="5C6EB906" w14:textId="77777777" w:rsidR="005D0020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1EBCF83E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528C2CED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530B98C3" w14:textId="77777777" w:rsidTr="001E2A0C">
        <w:tc>
          <w:tcPr>
            <w:tcW w:w="252" w:type="pct"/>
          </w:tcPr>
          <w:p w14:paraId="4C3A656B" w14:textId="77777777" w:rsidR="005D0020" w:rsidRPr="00412BDC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775187A5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1584" w:type="pct"/>
          </w:tcPr>
          <w:p w14:paraId="0DCDB39D" w14:textId="77777777" w:rsidR="005D0020" w:rsidRPr="00230933" w:rsidRDefault="005D0020" w:rsidP="004F20D9">
            <w:pPr>
              <w:pStyle w:val="berschrift4"/>
              <w:rPr>
                <w:i w:val="0"/>
              </w:rPr>
            </w:pPr>
            <w:r w:rsidRPr="00A0203B">
              <w:rPr>
                <w:i w:val="0"/>
              </w:rPr>
              <w:t>Transplantatversagen innerhalb von 2 Jahren nach</w:t>
            </w:r>
            <w:r w:rsidR="009B4F2E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Nierentransplantation</w:t>
            </w:r>
            <w:r w:rsidR="009B4F2E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(bei bekanntem Status)</w:t>
            </w:r>
          </w:p>
        </w:tc>
        <w:tc>
          <w:tcPr>
            <w:tcW w:w="1161" w:type="pct"/>
          </w:tcPr>
          <w:p w14:paraId="27704C74" w14:textId="77777777" w:rsidR="005D0020" w:rsidRPr="005F57B9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1A31BD62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013B17C5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885947" w14:paraId="49AD1985" w14:textId="77777777" w:rsidTr="001E2A0C">
        <w:tc>
          <w:tcPr>
            <w:tcW w:w="252" w:type="pct"/>
          </w:tcPr>
          <w:p w14:paraId="7EF05385" w14:textId="77777777" w:rsidR="005D0020" w:rsidRPr="00885947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64C10316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</w:t>
            </w:r>
          </w:p>
        </w:tc>
        <w:tc>
          <w:tcPr>
            <w:tcW w:w="1584" w:type="pct"/>
          </w:tcPr>
          <w:p w14:paraId="5BA040E0" w14:textId="77777777" w:rsidR="005D0020" w:rsidRPr="002E7EBF" w:rsidRDefault="005D0020" w:rsidP="004F20D9">
            <w:pPr>
              <w:pStyle w:val="berschrift4"/>
              <w:rPr>
                <w:i w:val="0"/>
              </w:rPr>
            </w:pPr>
            <w:r w:rsidRPr="00A0203B">
              <w:rPr>
                <w:i w:val="0"/>
              </w:rPr>
              <w:t xml:space="preserve">Transplantatversagen innerhalb von </w:t>
            </w:r>
            <w:r>
              <w:rPr>
                <w:i w:val="0"/>
              </w:rPr>
              <w:t>3</w:t>
            </w:r>
            <w:r w:rsidRPr="00A0203B">
              <w:rPr>
                <w:i w:val="0"/>
              </w:rPr>
              <w:t xml:space="preserve"> Jahren nach</w:t>
            </w:r>
            <w:r w:rsidR="009B4F2E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Nierentransplantation</w:t>
            </w:r>
            <w:r w:rsidR="009B4F2E">
              <w:rPr>
                <w:i w:val="0"/>
              </w:rPr>
              <w:t xml:space="preserve"> </w:t>
            </w:r>
            <w:r w:rsidRPr="00A0203B">
              <w:rPr>
                <w:i w:val="0"/>
              </w:rPr>
              <w:t>(bei bekanntem Status)</w:t>
            </w:r>
          </w:p>
        </w:tc>
        <w:tc>
          <w:tcPr>
            <w:tcW w:w="1161" w:type="pct"/>
          </w:tcPr>
          <w:p w14:paraId="2DE5C212" w14:textId="77777777" w:rsidR="005D0020" w:rsidRPr="00DB0F23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6252E735" w14:textId="77777777" w:rsidR="005D0020" w:rsidRPr="005A6E4D" w:rsidRDefault="005D0020" w:rsidP="004F20D9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217CBEB6" w14:textId="77777777" w:rsidR="005D0020" w:rsidRPr="00885947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885947" w14:paraId="5F30C444" w14:textId="77777777" w:rsidTr="001E2A0C">
        <w:tc>
          <w:tcPr>
            <w:tcW w:w="252" w:type="pct"/>
          </w:tcPr>
          <w:p w14:paraId="10B8CF26" w14:textId="77777777" w:rsidR="005D0020" w:rsidRPr="00885947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1CEF9164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1584" w:type="pct"/>
          </w:tcPr>
          <w:p w14:paraId="2DA95FBA" w14:textId="77777777" w:rsidR="005D0020" w:rsidRPr="002E7EBF" w:rsidRDefault="005D0020" w:rsidP="004F20D9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Qualität der Transplantatfunktion (1 Jahr nach Transplantation)</w:t>
            </w:r>
          </w:p>
        </w:tc>
        <w:tc>
          <w:tcPr>
            <w:tcW w:w="1161" w:type="pct"/>
          </w:tcPr>
          <w:p w14:paraId="55CA3777" w14:textId="77777777" w:rsidR="005D0020" w:rsidRPr="00DB0F23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49BEA25A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31673388" w14:textId="77777777" w:rsidR="005D0020" w:rsidRPr="00885947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560BAA71" w14:textId="77777777" w:rsidTr="001E2A0C">
        <w:tc>
          <w:tcPr>
            <w:tcW w:w="252" w:type="pct"/>
          </w:tcPr>
          <w:p w14:paraId="6CE65910" w14:textId="77777777" w:rsidR="005D0020" w:rsidRPr="00885947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5BF3BE63" w14:textId="77777777" w:rsidR="005D0020" w:rsidRPr="00412BDC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</w:t>
            </w:r>
          </w:p>
        </w:tc>
        <w:tc>
          <w:tcPr>
            <w:tcW w:w="1584" w:type="pct"/>
          </w:tcPr>
          <w:p w14:paraId="30DBB44E" w14:textId="77777777" w:rsidR="005D0020" w:rsidRPr="002E7EBF" w:rsidRDefault="005D0020" w:rsidP="004F20D9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</w:t>
            </w:r>
            <w:r>
              <w:rPr>
                <w:i w:val="0"/>
              </w:rPr>
              <w:t>ität der Transplantatfunktion (2</w:t>
            </w:r>
            <w:r w:rsidRPr="002E7EBF">
              <w:rPr>
                <w:i w:val="0"/>
              </w:rPr>
              <w:t xml:space="preserve"> Jahr</w:t>
            </w:r>
            <w:r>
              <w:rPr>
                <w:i w:val="0"/>
              </w:rPr>
              <w:t>e</w:t>
            </w:r>
            <w:r w:rsidRPr="002E7EBF">
              <w:rPr>
                <w:i w:val="0"/>
              </w:rPr>
              <w:t xml:space="preserve"> nach Transplantation)</w:t>
            </w:r>
          </w:p>
        </w:tc>
        <w:tc>
          <w:tcPr>
            <w:tcW w:w="1161" w:type="pct"/>
          </w:tcPr>
          <w:p w14:paraId="77A0F417" w14:textId="77777777" w:rsidR="005D0020" w:rsidRPr="005F57B9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74C11BCD" w14:textId="77777777" w:rsidR="005D0020" w:rsidRPr="005A6E4D" w:rsidRDefault="005D0020" w:rsidP="004F20D9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2F5474A5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  <w:tr w:rsidR="005D0020" w:rsidRPr="00412BDC" w14:paraId="41B6BC93" w14:textId="77777777" w:rsidTr="00440591">
        <w:trPr>
          <w:trHeight w:val="363"/>
        </w:trPr>
        <w:tc>
          <w:tcPr>
            <w:tcW w:w="252" w:type="pct"/>
          </w:tcPr>
          <w:p w14:paraId="18969C5A" w14:textId="77777777" w:rsidR="005D0020" w:rsidRPr="00A56B9A" w:rsidRDefault="005D0020" w:rsidP="004F20D9">
            <w:pPr>
              <w:numPr>
                <w:ilvl w:val="0"/>
                <w:numId w:val="38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14:paraId="64F8E05D" w14:textId="77777777" w:rsidR="005D0020" w:rsidRPr="00885947" w:rsidRDefault="005D0020" w:rsidP="004F20D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</w:t>
            </w:r>
          </w:p>
        </w:tc>
        <w:tc>
          <w:tcPr>
            <w:tcW w:w="1584" w:type="pct"/>
          </w:tcPr>
          <w:p w14:paraId="3AC44E6A" w14:textId="77777777" w:rsidR="005D0020" w:rsidRDefault="005D0020" w:rsidP="004F20D9">
            <w:pPr>
              <w:pStyle w:val="berschrift4"/>
              <w:rPr>
                <w:i w:val="0"/>
              </w:rPr>
            </w:pPr>
            <w:r w:rsidRPr="002E7EBF">
              <w:rPr>
                <w:i w:val="0"/>
              </w:rPr>
              <w:t>Qual</w:t>
            </w:r>
            <w:r>
              <w:rPr>
                <w:i w:val="0"/>
              </w:rPr>
              <w:t>ität der Transplantatfunktion (3</w:t>
            </w:r>
            <w:r w:rsidRPr="002E7EBF">
              <w:rPr>
                <w:i w:val="0"/>
              </w:rPr>
              <w:t xml:space="preserve"> Jahr</w:t>
            </w:r>
            <w:r>
              <w:rPr>
                <w:i w:val="0"/>
              </w:rPr>
              <w:t>e</w:t>
            </w:r>
            <w:r w:rsidRPr="002E7EBF">
              <w:rPr>
                <w:i w:val="0"/>
              </w:rPr>
              <w:t xml:space="preserve"> nach Transplantation)</w:t>
            </w:r>
          </w:p>
        </w:tc>
        <w:tc>
          <w:tcPr>
            <w:tcW w:w="1161" w:type="pct"/>
          </w:tcPr>
          <w:p w14:paraId="1801114D" w14:textId="77777777" w:rsidR="005D0020" w:rsidRPr="00DB0F23" w:rsidRDefault="005D0020" w:rsidP="004F20D9">
            <w:pPr>
              <w:tabs>
                <w:tab w:val="left" w:pos="1478"/>
                <w:tab w:val="left" w:pos="205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Prozentuale Angabe</w:t>
            </w:r>
          </w:p>
        </w:tc>
        <w:tc>
          <w:tcPr>
            <w:tcW w:w="1022" w:type="pct"/>
          </w:tcPr>
          <w:p w14:paraId="7C0173D0" w14:textId="77777777" w:rsidR="005D0020" w:rsidRPr="005A6E4D" w:rsidRDefault="005D0020" w:rsidP="004F20D9">
            <w:pPr>
              <w:spacing w:before="60" w:after="60"/>
              <w:rPr>
                <w:b/>
                <w:sz w:val="18"/>
                <w:szCs w:val="18"/>
                <w:highlight w:val="yellow"/>
              </w:rPr>
            </w:pPr>
            <w:r w:rsidRPr="00F20D20">
              <w:rPr>
                <w:color w:val="3366FF"/>
                <w:sz w:val="18"/>
                <w:szCs w:val="18"/>
              </w:rPr>
              <w:t>Analog zu AQUA</w:t>
            </w:r>
            <w:r w:rsidR="00E4366B" w:rsidRPr="00E4366B">
              <w:rPr>
                <w:color w:val="3366FF"/>
                <w:lang w:eastAsia="de-DE" w:bidi="he-IL"/>
              </w:rPr>
              <w:t xml:space="preserve"> bzw. </w:t>
            </w:r>
            <w:proofErr w:type="spellStart"/>
            <w:r w:rsidR="00E4366B" w:rsidRPr="00E4366B">
              <w:rPr>
                <w:color w:val="3366FF"/>
                <w:lang w:eastAsia="de-DE" w:bidi="he-IL"/>
              </w:rPr>
              <w:t>IQTiG</w:t>
            </w:r>
            <w:proofErr w:type="spellEnd"/>
          </w:p>
        </w:tc>
        <w:tc>
          <w:tcPr>
            <w:tcW w:w="580" w:type="pct"/>
            <w:shd w:val="clear" w:color="auto" w:fill="CCFFCC"/>
          </w:tcPr>
          <w:p w14:paraId="5EC4DF48" w14:textId="77777777" w:rsidR="005D0020" w:rsidRPr="00412BDC" w:rsidRDefault="005D0020" w:rsidP="004F20D9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</w:tr>
    </w:tbl>
    <w:p w14:paraId="1A6D3111" w14:textId="77777777" w:rsidR="005D0020" w:rsidRDefault="005D0020" w:rsidP="00F03CFA"/>
    <w:sectPr w:rsidR="005D0020" w:rsidSect="006A0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B3C7" w14:textId="77777777" w:rsidR="005D0020" w:rsidRDefault="005D0020" w:rsidP="00AC0C9E">
      <w:r>
        <w:separator/>
      </w:r>
    </w:p>
  </w:endnote>
  <w:endnote w:type="continuationSeparator" w:id="0">
    <w:p w14:paraId="13874C81" w14:textId="77777777" w:rsidR="005D0020" w:rsidRDefault="005D0020" w:rsidP="00A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7BC7" w14:textId="77777777" w:rsidR="007A70EB" w:rsidRDefault="007A70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874C" w14:textId="64A5F26E" w:rsidR="005D0020" w:rsidRPr="00CA0F46" w:rsidRDefault="005D0020" w:rsidP="006A0E69">
    <w:pPr>
      <w:pStyle w:val="Fuzeile"/>
      <w:tabs>
        <w:tab w:val="clear" w:pos="4536"/>
        <w:tab w:val="clear" w:pos="9072"/>
        <w:tab w:val="center" w:pos="4962"/>
        <w:tab w:val="right" w:pos="9781"/>
      </w:tabs>
      <w:rPr>
        <w:sz w:val="14"/>
        <w:szCs w:val="14"/>
      </w:rPr>
    </w:pPr>
    <w:r w:rsidRPr="00CA0F46">
      <w:rPr>
        <w:sz w:val="14"/>
        <w:szCs w:val="14"/>
      </w:rPr>
      <w:fldChar w:fldCharType="begin"/>
    </w:r>
    <w:r w:rsidRPr="00CA0F46">
      <w:rPr>
        <w:sz w:val="14"/>
        <w:szCs w:val="14"/>
      </w:rPr>
      <w:instrText xml:space="preserve"> FILENAME </w:instrText>
    </w:r>
    <w:r w:rsidRPr="00CA0F46">
      <w:rPr>
        <w:sz w:val="14"/>
        <w:szCs w:val="14"/>
      </w:rPr>
      <w:fldChar w:fldCharType="separate"/>
    </w:r>
    <w:r w:rsidR="007A70EB">
      <w:rPr>
        <w:noProof/>
        <w:sz w:val="14"/>
        <w:szCs w:val="14"/>
      </w:rPr>
      <w:t>eb_nsk-ntx-O1 (230220)</w:t>
    </w:r>
    <w:r w:rsidRPr="00CA0F46">
      <w:rPr>
        <w:sz w:val="14"/>
        <w:szCs w:val="14"/>
      </w:rPr>
      <w:fldChar w:fldCharType="end"/>
    </w:r>
    <w:r w:rsidRPr="00CA0F46">
      <w:rPr>
        <w:sz w:val="14"/>
        <w:szCs w:val="14"/>
      </w:rPr>
      <w:tab/>
      <w:t>Copyright © 20</w:t>
    </w:r>
    <w:r w:rsidR="00B36627">
      <w:rPr>
        <w:sz w:val="14"/>
        <w:szCs w:val="14"/>
      </w:rPr>
      <w:t>20</w:t>
    </w:r>
    <w:r w:rsidRPr="00CA0F46">
      <w:rPr>
        <w:sz w:val="14"/>
        <w:szCs w:val="14"/>
      </w:rPr>
      <w:t xml:space="preserve"> Deutsche Gesellschaft für Nephrologie</w:t>
    </w:r>
    <w:r w:rsidRPr="00D643D7">
      <w:rPr>
        <w:sz w:val="14"/>
        <w:szCs w:val="14"/>
      </w:rPr>
      <w:tab/>
      <w:t xml:space="preserve">Seite </w:t>
    </w:r>
    <w:r w:rsidRPr="00D643D7">
      <w:rPr>
        <w:rStyle w:val="Seitenzahl"/>
        <w:sz w:val="14"/>
        <w:szCs w:val="14"/>
      </w:rPr>
      <w:fldChar w:fldCharType="begin"/>
    </w:r>
    <w:r w:rsidRPr="00D643D7">
      <w:rPr>
        <w:rStyle w:val="Seitenzahl"/>
        <w:sz w:val="14"/>
        <w:szCs w:val="14"/>
      </w:rPr>
      <w:instrText xml:space="preserve"> PAGE </w:instrText>
    </w:r>
    <w:r w:rsidRPr="00D643D7">
      <w:rPr>
        <w:rStyle w:val="Seitenzahl"/>
        <w:sz w:val="14"/>
        <w:szCs w:val="14"/>
      </w:rPr>
      <w:fldChar w:fldCharType="separate"/>
    </w:r>
    <w:r w:rsidR="00924728">
      <w:rPr>
        <w:rStyle w:val="Seitenzahl"/>
        <w:noProof/>
        <w:sz w:val="14"/>
        <w:szCs w:val="14"/>
      </w:rPr>
      <w:t>2</w:t>
    </w:r>
    <w:r w:rsidRPr="00D643D7">
      <w:rPr>
        <w:rStyle w:val="Seitenzahl"/>
        <w:sz w:val="14"/>
        <w:szCs w:val="14"/>
      </w:rPr>
      <w:fldChar w:fldCharType="end"/>
    </w:r>
    <w:r w:rsidRPr="00D643D7">
      <w:rPr>
        <w:rStyle w:val="Seitenzahl"/>
        <w:sz w:val="14"/>
        <w:szCs w:val="14"/>
      </w:rPr>
      <w:t xml:space="preserve"> von </w:t>
    </w:r>
    <w:r w:rsidRPr="00D643D7">
      <w:rPr>
        <w:rStyle w:val="Seitenzahl"/>
        <w:sz w:val="14"/>
        <w:szCs w:val="14"/>
      </w:rPr>
      <w:fldChar w:fldCharType="begin"/>
    </w:r>
    <w:r w:rsidRPr="00D643D7">
      <w:rPr>
        <w:rStyle w:val="Seitenzahl"/>
        <w:sz w:val="14"/>
        <w:szCs w:val="14"/>
      </w:rPr>
      <w:instrText xml:space="preserve"> NUMPAGES </w:instrText>
    </w:r>
    <w:r w:rsidRPr="00D643D7">
      <w:rPr>
        <w:rStyle w:val="Seitenzahl"/>
        <w:sz w:val="14"/>
        <w:szCs w:val="14"/>
      </w:rPr>
      <w:fldChar w:fldCharType="separate"/>
    </w:r>
    <w:r w:rsidR="00924728">
      <w:rPr>
        <w:rStyle w:val="Seitenzahl"/>
        <w:noProof/>
        <w:sz w:val="14"/>
        <w:szCs w:val="14"/>
      </w:rPr>
      <w:t>10</w:t>
    </w:r>
    <w:r w:rsidRPr="00D643D7">
      <w:rPr>
        <w:rStyle w:val="Seitenzah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4A0" w14:textId="77777777" w:rsidR="007A70EB" w:rsidRDefault="007A7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0E99" w14:textId="77777777" w:rsidR="005D0020" w:rsidRDefault="005D0020" w:rsidP="00AC0C9E">
      <w:r>
        <w:separator/>
      </w:r>
    </w:p>
  </w:footnote>
  <w:footnote w:type="continuationSeparator" w:id="0">
    <w:p w14:paraId="7FF58826" w14:textId="77777777" w:rsidR="005D0020" w:rsidRDefault="005D0020" w:rsidP="00AC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D8B" w14:textId="77777777" w:rsidR="007A70EB" w:rsidRDefault="007A70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7AB7" w14:textId="77777777" w:rsidR="005D0020" w:rsidRDefault="005D0020">
    <w:pPr>
      <w:pStyle w:val="Kopfzeile"/>
    </w:pPr>
  </w:p>
  <w:tbl>
    <w:tblPr>
      <w:tblW w:w="0" w:type="auto"/>
      <w:tblLook w:val="01E0" w:firstRow="1" w:lastRow="1" w:firstColumn="1" w:lastColumn="1" w:noHBand="0" w:noVBand="0"/>
    </w:tblPr>
    <w:tblGrid>
      <w:gridCol w:w="5539"/>
      <w:gridCol w:w="4207"/>
    </w:tblGrid>
    <w:tr w:rsidR="005D0020" w:rsidRPr="00DC35C7" w14:paraId="0EE33886" w14:textId="77777777">
      <w:tc>
        <w:tcPr>
          <w:tcW w:w="6062" w:type="dxa"/>
          <w:vAlign w:val="bottom"/>
        </w:tcPr>
        <w:p w14:paraId="6ACC94CC" w14:textId="77777777" w:rsidR="005D0020" w:rsidRPr="00F41AAE" w:rsidRDefault="005D0020" w:rsidP="00707DA8">
          <w:pPr>
            <w:pStyle w:val="Kopfzeile"/>
            <w:rPr>
              <w:rFonts w:cs="Arial"/>
            </w:rPr>
          </w:pPr>
        </w:p>
        <w:p w14:paraId="4575398A" w14:textId="77777777" w:rsidR="005D0020" w:rsidRPr="00F41AAE" w:rsidRDefault="005D0020" w:rsidP="00707DA8">
          <w:pPr>
            <w:pStyle w:val="Kopfzeile"/>
            <w:rPr>
              <w:rFonts w:cs="Arial"/>
            </w:rPr>
          </w:pPr>
          <w:r w:rsidRPr="00F41AAE">
            <w:rPr>
              <w:rFonts w:cs="Arial"/>
            </w:rPr>
            <w:t>Erhebungsbogen</w:t>
          </w:r>
        </w:p>
        <w:p w14:paraId="3D2D3E79" w14:textId="77777777" w:rsidR="005D0020" w:rsidRPr="00F41AAE" w:rsidRDefault="005D0020" w:rsidP="00707DA8">
          <w:pPr>
            <w:pStyle w:val="Kopfzeile"/>
            <w:rPr>
              <w:rFonts w:cs="Arial"/>
              <w:sz w:val="8"/>
              <w:szCs w:val="8"/>
            </w:rPr>
          </w:pPr>
        </w:p>
        <w:p w14:paraId="0BC26B8C" w14:textId="77777777" w:rsidR="005D0020" w:rsidRPr="006A0E69" w:rsidRDefault="00F1105E" w:rsidP="007A0F12">
          <w:pPr>
            <w:pStyle w:val="Kopfzeile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Zentrum für Nierentransplantation DGfN</w:t>
          </w:r>
        </w:p>
      </w:tc>
      <w:tc>
        <w:tcPr>
          <w:tcW w:w="4283" w:type="dxa"/>
        </w:tcPr>
        <w:p w14:paraId="3CA48731" w14:textId="77777777" w:rsidR="005D0020" w:rsidRPr="00F41AAE" w:rsidRDefault="006C2DC8" w:rsidP="00707DA8">
          <w:pPr>
            <w:pStyle w:val="Kopfzeile"/>
            <w:jc w:val="right"/>
            <w:rPr>
              <w:rFonts w:cs="Arial"/>
            </w:rPr>
          </w:pPr>
          <w:r>
            <w:rPr>
              <w:rFonts w:ascii="Calibri" w:hAnsi="Calibri" w:cs="Arial"/>
              <w:noProof/>
              <w:lang w:eastAsia="de-DE"/>
            </w:rPr>
            <w:drawing>
              <wp:inline distT="0" distB="0" distL="0" distR="0" wp14:anchorId="27EC9C17" wp14:editId="3B2CE8B0">
                <wp:extent cx="2113280" cy="647065"/>
                <wp:effectExtent l="0" t="0" r="1270" b="635"/>
                <wp:docPr id="1" name="Bild 1" descr="logo DG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DG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FC185D" w14:textId="77777777" w:rsidR="005D0020" w:rsidRDefault="005D0020">
    <w:pPr>
      <w:pStyle w:val="Kopfzeile"/>
    </w:pPr>
  </w:p>
  <w:p w14:paraId="0B3F7DA8" w14:textId="77777777" w:rsidR="005D0020" w:rsidRDefault="005D00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6C5" w14:textId="77777777" w:rsidR="007A70EB" w:rsidRDefault="007A7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728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02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04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74D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E3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A9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2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6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045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E9B"/>
    <w:multiLevelType w:val="hybridMultilevel"/>
    <w:tmpl w:val="285004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D95CF7"/>
    <w:multiLevelType w:val="hybridMultilevel"/>
    <w:tmpl w:val="6DBC3DEA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BBA0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AEC40154">
      <w:start w:val="5"/>
      <w:numFmt w:val="bullet"/>
      <w:lvlText w:val=""/>
      <w:lvlJc w:val="left"/>
      <w:pPr>
        <w:tabs>
          <w:tab w:val="num" w:pos="2280"/>
        </w:tabs>
        <w:ind w:left="2280" w:hanging="480"/>
      </w:pPr>
      <w:rPr>
        <w:rFonts w:ascii="Wingdings" w:eastAsia="Times New Roman" w:hAnsi="Wingdings" w:hint="default"/>
        <w:sz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6277E"/>
    <w:multiLevelType w:val="hybridMultilevel"/>
    <w:tmpl w:val="927AD464"/>
    <w:lvl w:ilvl="0" w:tplc="958C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3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4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B6602A"/>
    <w:multiLevelType w:val="multilevel"/>
    <w:tmpl w:val="CDC0F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905CC2"/>
    <w:multiLevelType w:val="hybridMultilevel"/>
    <w:tmpl w:val="717C401A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A5F5A"/>
    <w:multiLevelType w:val="hybridMultilevel"/>
    <w:tmpl w:val="A03E06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BA0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D31A4"/>
    <w:multiLevelType w:val="hybridMultilevel"/>
    <w:tmpl w:val="3BF6B2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A8445D"/>
    <w:multiLevelType w:val="hybridMultilevel"/>
    <w:tmpl w:val="6A6AE1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FD3458"/>
    <w:multiLevelType w:val="hybridMultilevel"/>
    <w:tmpl w:val="D30AC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820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40184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3EA5C50">
      <w:start w:val="3"/>
      <w:numFmt w:val="bullet"/>
      <w:lvlText w:val=""/>
      <w:lvlJc w:val="left"/>
      <w:pPr>
        <w:tabs>
          <w:tab w:val="num" w:pos="3000"/>
        </w:tabs>
        <w:ind w:left="3000" w:hanging="480"/>
      </w:pPr>
      <w:rPr>
        <w:rFonts w:ascii="Wingdings" w:eastAsia="Times New Roman" w:hAnsi="Wingdings" w:hint="default"/>
        <w:sz w:val="24"/>
      </w:rPr>
    </w:lvl>
    <w:lvl w:ilvl="4" w:tplc="37BEBE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610E0D"/>
    <w:multiLevelType w:val="hybridMultilevel"/>
    <w:tmpl w:val="6A4C581A"/>
    <w:lvl w:ilvl="0" w:tplc="8648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64806"/>
    <w:multiLevelType w:val="hybridMultilevel"/>
    <w:tmpl w:val="FD847580"/>
    <w:lvl w:ilvl="0" w:tplc="0CD256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112977"/>
    <w:multiLevelType w:val="multilevel"/>
    <w:tmpl w:val="9318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F680CFE"/>
    <w:multiLevelType w:val="hybridMultilevel"/>
    <w:tmpl w:val="D7B86914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100E19"/>
    <w:multiLevelType w:val="hybridMultilevel"/>
    <w:tmpl w:val="027A66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846554"/>
    <w:multiLevelType w:val="multilevel"/>
    <w:tmpl w:val="8BC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A94945"/>
    <w:multiLevelType w:val="hybridMultilevel"/>
    <w:tmpl w:val="DA5CB25E"/>
    <w:lvl w:ilvl="0" w:tplc="2CB80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E6F143D"/>
    <w:multiLevelType w:val="hybridMultilevel"/>
    <w:tmpl w:val="154EB5C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12A4543"/>
    <w:multiLevelType w:val="hybridMultilevel"/>
    <w:tmpl w:val="9B78C8CC"/>
    <w:lvl w:ilvl="0" w:tplc="ABDCCB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D110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6EE0457"/>
    <w:multiLevelType w:val="hybridMultilevel"/>
    <w:tmpl w:val="43EE67CC"/>
    <w:lvl w:ilvl="0" w:tplc="C85046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6E74EBA"/>
    <w:multiLevelType w:val="hybridMultilevel"/>
    <w:tmpl w:val="FD5076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3B427C"/>
    <w:multiLevelType w:val="hybridMultilevel"/>
    <w:tmpl w:val="92D8F5C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A80812"/>
    <w:multiLevelType w:val="hybridMultilevel"/>
    <w:tmpl w:val="276A86E8"/>
    <w:lvl w:ilvl="0" w:tplc="7AD00184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F26A4C"/>
    <w:multiLevelType w:val="hybridMultilevel"/>
    <w:tmpl w:val="576C46E0"/>
    <w:lvl w:ilvl="0" w:tplc="5882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E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E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06A476D"/>
    <w:multiLevelType w:val="hybridMultilevel"/>
    <w:tmpl w:val="8752E9EE"/>
    <w:lvl w:ilvl="0" w:tplc="03262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D43EEF"/>
    <w:multiLevelType w:val="multilevel"/>
    <w:tmpl w:val="9318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5F5350E5"/>
    <w:multiLevelType w:val="hybridMultilevel"/>
    <w:tmpl w:val="4D0643E0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1704E"/>
    <w:multiLevelType w:val="hybridMultilevel"/>
    <w:tmpl w:val="4E7668F0"/>
    <w:lvl w:ilvl="0" w:tplc="4C32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4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5475B5"/>
    <w:multiLevelType w:val="hybridMultilevel"/>
    <w:tmpl w:val="E2C6842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C8077E"/>
    <w:multiLevelType w:val="hybridMultilevel"/>
    <w:tmpl w:val="63BEF67C"/>
    <w:lvl w:ilvl="0" w:tplc="38F44404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5506F1"/>
    <w:multiLevelType w:val="hybridMultilevel"/>
    <w:tmpl w:val="176853EA"/>
    <w:lvl w:ilvl="0" w:tplc="C85046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12FF3A">
      <w:start w:val="6"/>
      <w:numFmt w:val="bullet"/>
      <w:lvlText w:val=""/>
      <w:lvlJc w:val="left"/>
      <w:pPr>
        <w:tabs>
          <w:tab w:val="num" w:pos="1230"/>
        </w:tabs>
        <w:ind w:left="1230" w:hanging="510"/>
      </w:pPr>
      <w:rPr>
        <w:rFonts w:ascii="Wingdings" w:eastAsia="Times New Roman" w:hAnsi="Wingdings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A4D45"/>
    <w:multiLevelType w:val="hybridMultilevel"/>
    <w:tmpl w:val="183E4D54"/>
    <w:lvl w:ilvl="0" w:tplc="C85046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83273F"/>
    <w:multiLevelType w:val="hybridMultilevel"/>
    <w:tmpl w:val="8BCC8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7103085">
    <w:abstractNumId w:val="14"/>
  </w:num>
  <w:num w:numId="2" w16cid:durableId="1419138247">
    <w:abstractNumId w:val="25"/>
  </w:num>
  <w:num w:numId="3" w16cid:durableId="609893929">
    <w:abstractNumId w:val="11"/>
  </w:num>
  <w:num w:numId="4" w16cid:durableId="1283729392">
    <w:abstractNumId w:val="18"/>
  </w:num>
  <w:num w:numId="5" w16cid:durableId="276375477">
    <w:abstractNumId w:val="36"/>
  </w:num>
  <w:num w:numId="6" w16cid:durableId="900409688">
    <w:abstractNumId w:val="15"/>
  </w:num>
  <w:num w:numId="7" w16cid:durableId="2097896736">
    <w:abstractNumId w:val="34"/>
  </w:num>
  <w:num w:numId="8" w16cid:durableId="206917836">
    <w:abstractNumId w:val="29"/>
  </w:num>
  <w:num w:numId="9" w16cid:durableId="2042124921">
    <w:abstractNumId w:val="17"/>
  </w:num>
  <w:num w:numId="10" w16cid:durableId="188612788">
    <w:abstractNumId w:val="41"/>
  </w:num>
  <w:num w:numId="11" w16cid:durableId="1159736730">
    <w:abstractNumId w:val="40"/>
  </w:num>
  <w:num w:numId="12" w16cid:durableId="835531705">
    <w:abstractNumId w:val="42"/>
  </w:num>
  <w:num w:numId="13" w16cid:durableId="1034648256">
    <w:abstractNumId w:val="26"/>
  </w:num>
  <w:num w:numId="14" w16cid:durableId="334109606">
    <w:abstractNumId w:val="23"/>
  </w:num>
  <w:num w:numId="15" w16cid:durableId="1862665735">
    <w:abstractNumId w:val="31"/>
  </w:num>
  <w:num w:numId="16" w16cid:durableId="1390493441">
    <w:abstractNumId w:val="37"/>
  </w:num>
  <w:num w:numId="17" w16cid:durableId="27535879">
    <w:abstractNumId w:val="33"/>
  </w:num>
  <w:num w:numId="18" w16cid:durableId="1632133007">
    <w:abstractNumId w:val="12"/>
  </w:num>
  <w:num w:numId="19" w16cid:durableId="550457485">
    <w:abstractNumId w:val="16"/>
  </w:num>
  <w:num w:numId="20" w16cid:durableId="874971493">
    <w:abstractNumId w:val="22"/>
  </w:num>
  <w:num w:numId="21" w16cid:durableId="1384909936">
    <w:abstractNumId w:val="32"/>
  </w:num>
  <w:num w:numId="22" w16cid:durableId="867716993">
    <w:abstractNumId w:val="38"/>
  </w:num>
  <w:num w:numId="23" w16cid:durableId="92361743">
    <w:abstractNumId w:val="13"/>
  </w:num>
  <w:num w:numId="24" w16cid:durableId="268783626">
    <w:abstractNumId w:val="20"/>
  </w:num>
  <w:num w:numId="25" w16cid:durableId="1370643195">
    <w:abstractNumId w:val="9"/>
  </w:num>
  <w:num w:numId="26" w16cid:durableId="416024147">
    <w:abstractNumId w:val="7"/>
  </w:num>
  <w:num w:numId="27" w16cid:durableId="790438671">
    <w:abstractNumId w:val="6"/>
  </w:num>
  <w:num w:numId="28" w16cid:durableId="2042246605">
    <w:abstractNumId w:val="5"/>
  </w:num>
  <w:num w:numId="29" w16cid:durableId="1337852278">
    <w:abstractNumId w:val="4"/>
  </w:num>
  <w:num w:numId="30" w16cid:durableId="811096591">
    <w:abstractNumId w:val="8"/>
  </w:num>
  <w:num w:numId="31" w16cid:durableId="980424936">
    <w:abstractNumId w:val="3"/>
  </w:num>
  <w:num w:numId="32" w16cid:durableId="434711853">
    <w:abstractNumId w:val="2"/>
  </w:num>
  <w:num w:numId="33" w16cid:durableId="1953510197">
    <w:abstractNumId w:val="1"/>
  </w:num>
  <w:num w:numId="34" w16cid:durableId="1127240020">
    <w:abstractNumId w:val="0"/>
  </w:num>
  <w:num w:numId="35" w16cid:durableId="601492656">
    <w:abstractNumId w:val="28"/>
  </w:num>
  <w:num w:numId="36" w16cid:durableId="1833764014">
    <w:abstractNumId w:val="24"/>
  </w:num>
  <w:num w:numId="37" w16cid:durableId="815685728">
    <w:abstractNumId w:val="21"/>
  </w:num>
  <w:num w:numId="38" w16cid:durableId="398599082">
    <w:abstractNumId w:val="35"/>
  </w:num>
  <w:num w:numId="39" w16cid:durableId="201944370">
    <w:abstractNumId w:val="19"/>
  </w:num>
  <w:num w:numId="40" w16cid:durableId="1995640886">
    <w:abstractNumId w:val="39"/>
  </w:num>
  <w:num w:numId="41" w16cid:durableId="593561108">
    <w:abstractNumId w:val="39"/>
  </w:num>
  <w:num w:numId="42" w16cid:durableId="1136411010">
    <w:abstractNumId w:val="39"/>
  </w:num>
  <w:num w:numId="43" w16cid:durableId="1407876042">
    <w:abstractNumId w:val="39"/>
  </w:num>
  <w:num w:numId="44" w16cid:durableId="1443645039">
    <w:abstractNumId w:val="39"/>
  </w:num>
  <w:num w:numId="45" w16cid:durableId="1922328447">
    <w:abstractNumId w:val="39"/>
  </w:num>
  <w:num w:numId="46" w16cid:durableId="572355806">
    <w:abstractNumId w:val="39"/>
  </w:num>
  <w:num w:numId="47" w16cid:durableId="1712880272">
    <w:abstractNumId w:val="39"/>
  </w:num>
  <w:num w:numId="48" w16cid:durableId="1459225793">
    <w:abstractNumId w:val="39"/>
  </w:num>
  <w:num w:numId="49" w16cid:durableId="595944373">
    <w:abstractNumId w:val="39"/>
  </w:num>
  <w:num w:numId="50" w16cid:durableId="644092969">
    <w:abstractNumId w:val="39"/>
  </w:num>
  <w:num w:numId="51" w16cid:durableId="925261991">
    <w:abstractNumId w:val="10"/>
  </w:num>
  <w:num w:numId="52" w16cid:durableId="763844779">
    <w:abstractNumId w:val="39"/>
    <w:lvlOverride w:ilvl="0">
      <w:startOverride w:val="1"/>
    </w:lvlOverride>
  </w:num>
  <w:num w:numId="53" w16cid:durableId="1103764852">
    <w:abstractNumId w:val="39"/>
    <w:lvlOverride w:ilvl="0">
      <w:startOverride w:val="1"/>
    </w:lvlOverride>
  </w:num>
  <w:num w:numId="54" w16cid:durableId="723942490">
    <w:abstractNumId w:val="30"/>
  </w:num>
  <w:num w:numId="55" w16cid:durableId="1837257839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9E"/>
    <w:rsid w:val="0000387E"/>
    <w:rsid w:val="0000405E"/>
    <w:rsid w:val="000066B7"/>
    <w:rsid w:val="000079D4"/>
    <w:rsid w:val="000106EB"/>
    <w:rsid w:val="000118BC"/>
    <w:rsid w:val="00012EA9"/>
    <w:rsid w:val="00015442"/>
    <w:rsid w:val="0002038D"/>
    <w:rsid w:val="0002255E"/>
    <w:rsid w:val="000251A3"/>
    <w:rsid w:val="00025E94"/>
    <w:rsid w:val="000261AD"/>
    <w:rsid w:val="000337B1"/>
    <w:rsid w:val="0004010F"/>
    <w:rsid w:val="00041702"/>
    <w:rsid w:val="0004652C"/>
    <w:rsid w:val="00050123"/>
    <w:rsid w:val="000504B0"/>
    <w:rsid w:val="00056931"/>
    <w:rsid w:val="00056EE4"/>
    <w:rsid w:val="000572C9"/>
    <w:rsid w:val="000573C6"/>
    <w:rsid w:val="00061ECE"/>
    <w:rsid w:val="00062970"/>
    <w:rsid w:val="00066D37"/>
    <w:rsid w:val="0007069B"/>
    <w:rsid w:val="00071C32"/>
    <w:rsid w:val="000736AE"/>
    <w:rsid w:val="00075942"/>
    <w:rsid w:val="00081335"/>
    <w:rsid w:val="000860DC"/>
    <w:rsid w:val="000A3734"/>
    <w:rsid w:val="000A3D00"/>
    <w:rsid w:val="000B1FB9"/>
    <w:rsid w:val="000B65C8"/>
    <w:rsid w:val="000B7E0C"/>
    <w:rsid w:val="000C1298"/>
    <w:rsid w:val="000C2887"/>
    <w:rsid w:val="000C2D8B"/>
    <w:rsid w:val="000D03A7"/>
    <w:rsid w:val="000D242D"/>
    <w:rsid w:val="000E2849"/>
    <w:rsid w:val="000E3466"/>
    <w:rsid w:val="000F3F2A"/>
    <w:rsid w:val="000F500C"/>
    <w:rsid w:val="000F5DE5"/>
    <w:rsid w:val="00100423"/>
    <w:rsid w:val="001033D2"/>
    <w:rsid w:val="00103440"/>
    <w:rsid w:val="00107904"/>
    <w:rsid w:val="001109E8"/>
    <w:rsid w:val="00114172"/>
    <w:rsid w:val="00114FEF"/>
    <w:rsid w:val="00116261"/>
    <w:rsid w:val="00122699"/>
    <w:rsid w:val="00125367"/>
    <w:rsid w:val="00132C75"/>
    <w:rsid w:val="00134F5A"/>
    <w:rsid w:val="00135A12"/>
    <w:rsid w:val="001366B4"/>
    <w:rsid w:val="00137047"/>
    <w:rsid w:val="00140BB0"/>
    <w:rsid w:val="00140DBF"/>
    <w:rsid w:val="00144001"/>
    <w:rsid w:val="001447F1"/>
    <w:rsid w:val="001502B7"/>
    <w:rsid w:val="00160305"/>
    <w:rsid w:val="00166A88"/>
    <w:rsid w:val="00167928"/>
    <w:rsid w:val="001714A9"/>
    <w:rsid w:val="00171D29"/>
    <w:rsid w:val="00174829"/>
    <w:rsid w:val="00176470"/>
    <w:rsid w:val="00180F7D"/>
    <w:rsid w:val="0018125F"/>
    <w:rsid w:val="0018406C"/>
    <w:rsid w:val="00184863"/>
    <w:rsid w:val="00185126"/>
    <w:rsid w:val="001858B4"/>
    <w:rsid w:val="00191209"/>
    <w:rsid w:val="0019461B"/>
    <w:rsid w:val="00195B12"/>
    <w:rsid w:val="001C6BAE"/>
    <w:rsid w:val="001C7CC7"/>
    <w:rsid w:val="001D1E2F"/>
    <w:rsid w:val="001D2F60"/>
    <w:rsid w:val="001D34E2"/>
    <w:rsid w:val="001D5190"/>
    <w:rsid w:val="001D6EE7"/>
    <w:rsid w:val="001E2A0C"/>
    <w:rsid w:val="001E444E"/>
    <w:rsid w:val="001E4482"/>
    <w:rsid w:val="001E5ACA"/>
    <w:rsid w:val="001E7151"/>
    <w:rsid w:val="001F672D"/>
    <w:rsid w:val="002012A1"/>
    <w:rsid w:val="00204698"/>
    <w:rsid w:val="00204C31"/>
    <w:rsid w:val="0021343F"/>
    <w:rsid w:val="00217287"/>
    <w:rsid w:val="002216C7"/>
    <w:rsid w:val="00226197"/>
    <w:rsid w:val="00230933"/>
    <w:rsid w:val="00242D55"/>
    <w:rsid w:val="00243E56"/>
    <w:rsid w:val="00243F0C"/>
    <w:rsid w:val="002450DD"/>
    <w:rsid w:val="00246E54"/>
    <w:rsid w:val="00250F0F"/>
    <w:rsid w:val="00251C26"/>
    <w:rsid w:val="00261587"/>
    <w:rsid w:val="002622AA"/>
    <w:rsid w:val="00264519"/>
    <w:rsid w:val="002656F7"/>
    <w:rsid w:val="00266546"/>
    <w:rsid w:val="00281671"/>
    <w:rsid w:val="0028191E"/>
    <w:rsid w:val="00284672"/>
    <w:rsid w:val="0029022C"/>
    <w:rsid w:val="0029490A"/>
    <w:rsid w:val="00295FBC"/>
    <w:rsid w:val="002967FF"/>
    <w:rsid w:val="00296D95"/>
    <w:rsid w:val="00297E97"/>
    <w:rsid w:val="002A10FC"/>
    <w:rsid w:val="002A1E1B"/>
    <w:rsid w:val="002A3BB8"/>
    <w:rsid w:val="002A48FB"/>
    <w:rsid w:val="002B1D75"/>
    <w:rsid w:val="002B2DA1"/>
    <w:rsid w:val="002B57BD"/>
    <w:rsid w:val="002B64E4"/>
    <w:rsid w:val="002C00B6"/>
    <w:rsid w:val="002C182E"/>
    <w:rsid w:val="002C4275"/>
    <w:rsid w:val="002C71FB"/>
    <w:rsid w:val="002D0399"/>
    <w:rsid w:val="002D1EBB"/>
    <w:rsid w:val="002D3198"/>
    <w:rsid w:val="002D7B10"/>
    <w:rsid w:val="002E1B01"/>
    <w:rsid w:val="002E2610"/>
    <w:rsid w:val="002E77E6"/>
    <w:rsid w:val="002E7EBF"/>
    <w:rsid w:val="002F3F10"/>
    <w:rsid w:val="002F4750"/>
    <w:rsid w:val="003001D8"/>
    <w:rsid w:val="00305F84"/>
    <w:rsid w:val="003063AE"/>
    <w:rsid w:val="00306D1D"/>
    <w:rsid w:val="0031071A"/>
    <w:rsid w:val="00311C47"/>
    <w:rsid w:val="00315EEF"/>
    <w:rsid w:val="00320F75"/>
    <w:rsid w:val="003250D1"/>
    <w:rsid w:val="00325F99"/>
    <w:rsid w:val="00331F3F"/>
    <w:rsid w:val="00332B61"/>
    <w:rsid w:val="003378B1"/>
    <w:rsid w:val="003421D1"/>
    <w:rsid w:val="0034309B"/>
    <w:rsid w:val="00343835"/>
    <w:rsid w:val="003456E9"/>
    <w:rsid w:val="00345752"/>
    <w:rsid w:val="00356FA6"/>
    <w:rsid w:val="00363A02"/>
    <w:rsid w:val="00372E9D"/>
    <w:rsid w:val="0037690E"/>
    <w:rsid w:val="00376BBA"/>
    <w:rsid w:val="00382B15"/>
    <w:rsid w:val="00382FCF"/>
    <w:rsid w:val="00385800"/>
    <w:rsid w:val="00395733"/>
    <w:rsid w:val="003A213D"/>
    <w:rsid w:val="003B0808"/>
    <w:rsid w:val="003B0B8E"/>
    <w:rsid w:val="003B1628"/>
    <w:rsid w:val="003B5D1B"/>
    <w:rsid w:val="003B68BB"/>
    <w:rsid w:val="003C0AC0"/>
    <w:rsid w:val="003C0FB8"/>
    <w:rsid w:val="003C149A"/>
    <w:rsid w:val="003C1E69"/>
    <w:rsid w:val="003C20E7"/>
    <w:rsid w:val="003C4721"/>
    <w:rsid w:val="003C5B65"/>
    <w:rsid w:val="003C7B48"/>
    <w:rsid w:val="003C7CBA"/>
    <w:rsid w:val="003D2FC3"/>
    <w:rsid w:val="003E140F"/>
    <w:rsid w:val="003E2824"/>
    <w:rsid w:val="003E2D98"/>
    <w:rsid w:val="003E31F4"/>
    <w:rsid w:val="003E698B"/>
    <w:rsid w:val="003F474A"/>
    <w:rsid w:val="00400F8E"/>
    <w:rsid w:val="0040582E"/>
    <w:rsid w:val="0041054C"/>
    <w:rsid w:val="0041083D"/>
    <w:rsid w:val="00412BDC"/>
    <w:rsid w:val="004166B2"/>
    <w:rsid w:val="00417932"/>
    <w:rsid w:val="00423DD6"/>
    <w:rsid w:val="004245B9"/>
    <w:rsid w:val="00432A5C"/>
    <w:rsid w:val="00435798"/>
    <w:rsid w:val="004377C0"/>
    <w:rsid w:val="00440591"/>
    <w:rsid w:val="00442519"/>
    <w:rsid w:val="004454AD"/>
    <w:rsid w:val="00446B97"/>
    <w:rsid w:val="00452854"/>
    <w:rsid w:val="00453DF6"/>
    <w:rsid w:val="00455403"/>
    <w:rsid w:val="0046036B"/>
    <w:rsid w:val="004615B0"/>
    <w:rsid w:val="004705F4"/>
    <w:rsid w:val="004750B6"/>
    <w:rsid w:val="0048093D"/>
    <w:rsid w:val="0048440C"/>
    <w:rsid w:val="00491490"/>
    <w:rsid w:val="00492434"/>
    <w:rsid w:val="00493EE3"/>
    <w:rsid w:val="0049424C"/>
    <w:rsid w:val="00494442"/>
    <w:rsid w:val="004A377A"/>
    <w:rsid w:val="004A4FDD"/>
    <w:rsid w:val="004C431A"/>
    <w:rsid w:val="004C6285"/>
    <w:rsid w:val="004D02E5"/>
    <w:rsid w:val="004D0B4A"/>
    <w:rsid w:val="004D1E93"/>
    <w:rsid w:val="004D78F2"/>
    <w:rsid w:val="004E478A"/>
    <w:rsid w:val="004E6A23"/>
    <w:rsid w:val="004E7219"/>
    <w:rsid w:val="004E746E"/>
    <w:rsid w:val="004F20D9"/>
    <w:rsid w:val="004F717D"/>
    <w:rsid w:val="005009FB"/>
    <w:rsid w:val="00503ADA"/>
    <w:rsid w:val="00504C31"/>
    <w:rsid w:val="00507C36"/>
    <w:rsid w:val="00511118"/>
    <w:rsid w:val="00512521"/>
    <w:rsid w:val="0051388B"/>
    <w:rsid w:val="005254E3"/>
    <w:rsid w:val="00532A62"/>
    <w:rsid w:val="005365D2"/>
    <w:rsid w:val="005418C8"/>
    <w:rsid w:val="00543E9F"/>
    <w:rsid w:val="00544543"/>
    <w:rsid w:val="00544E97"/>
    <w:rsid w:val="0055404A"/>
    <w:rsid w:val="005608C0"/>
    <w:rsid w:val="00561867"/>
    <w:rsid w:val="0056385B"/>
    <w:rsid w:val="005639A0"/>
    <w:rsid w:val="00564579"/>
    <w:rsid w:val="00571D76"/>
    <w:rsid w:val="005725E8"/>
    <w:rsid w:val="00572754"/>
    <w:rsid w:val="0057516D"/>
    <w:rsid w:val="00577418"/>
    <w:rsid w:val="005813DD"/>
    <w:rsid w:val="00592FDA"/>
    <w:rsid w:val="005970E4"/>
    <w:rsid w:val="005973DE"/>
    <w:rsid w:val="005A0A3D"/>
    <w:rsid w:val="005A13FB"/>
    <w:rsid w:val="005A313F"/>
    <w:rsid w:val="005A6E4D"/>
    <w:rsid w:val="005A7E8F"/>
    <w:rsid w:val="005B1965"/>
    <w:rsid w:val="005D0020"/>
    <w:rsid w:val="005D08F3"/>
    <w:rsid w:val="005D0C63"/>
    <w:rsid w:val="005D16CD"/>
    <w:rsid w:val="005D18FD"/>
    <w:rsid w:val="005D2292"/>
    <w:rsid w:val="005D2736"/>
    <w:rsid w:val="005D3183"/>
    <w:rsid w:val="005D3E76"/>
    <w:rsid w:val="005D5885"/>
    <w:rsid w:val="005E3212"/>
    <w:rsid w:val="005F0D14"/>
    <w:rsid w:val="005F3284"/>
    <w:rsid w:val="005F57B9"/>
    <w:rsid w:val="005F79C8"/>
    <w:rsid w:val="00601106"/>
    <w:rsid w:val="006028F5"/>
    <w:rsid w:val="006029BE"/>
    <w:rsid w:val="00613E75"/>
    <w:rsid w:val="00624AF0"/>
    <w:rsid w:val="006273B0"/>
    <w:rsid w:val="006363E6"/>
    <w:rsid w:val="00641E81"/>
    <w:rsid w:val="00644000"/>
    <w:rsid w:val="0065022D"/>
    <w:rsid w:val="00652452"/>
    <w:rsid w:val="006528A2"/>
    <w:rsid w:val="006534DC"/>
    <w:rsid w:val="0065444B"/>
    <w:rsid w:val="00660670"/>
    <w:rsid w:val="00660ACA"/>
    <w:rsid w:val="006625F3"/>
    <w:rsid w:val="006629A6"/>
    <w:rsid w:val="00663E83"/>
    <w:rsid w:val="006668DD"/>
    <w:rsid w:val="006702AB"/>
    <w:rsid w:val="00673750"/>
    <w:rsid w:val="00673A83"/>
    <w:rsid w:val="0067501E"/>
    <w:rsid w:val="00675276"/>
    <w:rsid w:val="00690087"/>
    <w:rsid w:val="00691632"/>
    <w:rsid w:val="00694FA3"/>
    <w:rsid w:val="00696D2C"/>
    <w:rsid w:val="006974EF"/>
    <w:rsid w:val="006A0E69"/>
    <w:rsid w:val="006A263E"/>
    <w:rsid w:val="006A6066"/>
    <w:rsid w:val="006A60C4"/>
    <w:rsid w:val="006B1413"/>
    <w:rsid w:val="006B4EE4"/>
    <w:rsid w:val="006C2DC8"/>
    <w:rsid w:val="006D1A42"/>
    <w:rsid w:val="006D6901"/>
    <w:rsid w:val="006E32B0"/>
    <w:rsid w:val="006F55E5"/>
    <w:rsid w:val="006F6491"/>
    <w:rsid w:val="007061B1"/>
    <w:rsid w:val="00707134"/>
    <w:rsid w:val="00707D77"/>
    <w:rsid w:val="00707DA8"/>
    <w:rsid w:val="00712F5B"/>
    <w:rsid w:val="007172EB"/>
    <w:rsid w:val="00722515"/>
    <w:rsid w:val="0072593B"/>
    <w:rsid w:val="00730E7A"/>
    <w:rsid w:val="00732808"/>
    <w:rsid w:val="00732F48"/>
    <w:rsid w:val="00733A93"/>
    <w:rsid w:val="007358D9"/>
    <w:rsid w:val="00740CAC"/>
    <w:rsid w:val="0074538E"/>
    <w:rsid w:val="00745948"/>
    <w:rsid w:val="0075054B"/>
    <w:rsid w:val="0076477F"/>
    <w:rsid w:val="00771877"/>
    <w:rsid w:val="0078163B"/>
    <w:rsid w:val="00784A11"/>
    <w:rsid w:val="00791C34"/>
    <w:rsid w:val="00793BED"/>
    <w:rsid w:val="007970C4"/>
    <w:rsid w:val="00797141"/>
    <w:rsid w:val="007A0F12"/>
    <w:rsid w:val="007A70EB"/>
    <w:rsid w:val="007B3376"/>
    <w:rsid w:val="007B34AC"/>
    <w:rsid w:val="007C51C0"/>
    <w:rsid w:val="007C7B37"/>
    <w:rsid w:val="007D59CD"/>
    <w:rsid w:val="007E4E94"/>
    <w:rsid w:val="007E4FBB"/>
    <w:rsid w:val="007E7B11"/>
    <w:rsid w:val="007F5B3A"/>
    <w:rsid w:val="007F770F"/>
    <w:rsid w:val="0080280B"/>
    <w:rsid w:val="008112C1"/>
    <w:rsid w:val="008131D5"/>
    <w:rsid w:val="00822536"/>
    <w:rsid w:val="00822677"/>
    <w:rsid w:val="00826448"/>
    <w:rsid w:val="008314A5"/>
    <w:rsid w:val="008321AD"/>
    <w:rsid w:val="008377B9"/>
    <w:rsid w:val="00844D86"/>
    <w:rsid w:val="00846A39"/>
    <w:rsid w:val="00847413"/>
    <w:rsid w:val="00851C9F"/>
    <w:rsid w:val="00861740"/>
    <w:rsid w:val="00864147"/>
    <w:rsid w:val="0087199B"/>
    <w:rsid w:val="00872B51"/>
    <w:rsid w:val="00873242"/>
    <w:rsid w:val="008738DB"/>
    <w:rsid w:val="00881730"/>
    <w:rsid w:val="00882C99"/>
    <w:rsid w:val="00884A3A"/>
    <w:rsid w:val="00885947"/>
    <w:rsid w:val="008902E7"/>
    <w:rsid w:val="00893781"/>
    <w:rsid w:val="00893A5C"/>
    <w:rsid w:val="008971D4"/>
    <w:rsid w:val="008A40C9"/>
    <w:rsid w:val="008A641F"/>
    <w:rsid w:val="008C3A8A"/>
    <w:rsid w:val="008C666C"/>
    <w:rsid w:val="008D234C"/>
    <w:rsid w:val="008D3481"/>
    <w:rsid w:val="008D56B6"/>
    <w:rsid w:val="008D797E"/>
    <w:rsid w:val="008E1505"/>
    <w:rsid w:val="008E7351"/>
    <w:rsid w:val="008E7818"/>
    <w:rsid w:val="008F208B"/>
    <w:rsid w:val="00900722"/>
    <w:rsid w:val="009008E7"/>
    <w:rsid w:val="00903EE0"/>
    <w:rsid w:val="00907474"/>
    <w:rsid w:val="00924728"/>
    <w:rsid w:val="00924BE4"/>
    <w:rsid w:val="00925071"/>
    <w:rsid w:val="00927333"/>
    <w:rsid w:val="0092745C"/>
    <w:rsid w:val="0094030A"/>
    <w:rsid w:val="009404D7"/>
    <w:rsid w:val="00941785"/>
    <w:rsid w:val="00943E5A"/>
    <w:rsid w:val="00950D98"/>
    <w:rsid w:val="00951AA1"/>
    <w:rsid w:val="0096488D"/>
    <w:rsid w:val="00964A72"/>
    <w:rsid w:val="00967832"/>
    <w:rsid w:val="009678DA"/>
    <w:rsid w:val="00976120"/>
    <w:rsid w:val="00976245"/>
    <w:rsid w:val="00977343"/>
    <w:rsid w:val="009809DA"/>
    <w:rsid w:val="009848CD"/>
    <w:rsid w:val="00991483"/>
    <w:rsid w:val="00997315"/>
    <w:rsid w:val="009A08D8"/>
    <w:rsid w:val="009A3D6D"/>
    <w:rsid w:val="009A44E8"/>
    <w:rsid w:val="009B3F06"/>
    <w:rsid w:val="009B4B8B"/>
    <w:rsid w:val="009B4F2E"/>
    <w:rsid w:val="009C0656"/>
    <w:rsid w:val="009C3E90"/>
    <w:rsid w:val="009C49CA"/>
    <w:rsid w:val="009D01E9"/>
    <w:rsid w:val="009D2A9A"/>
    <w:rsid w:val="009D5006"/>
    <w:rsid w:val="009E0782"/>
    <w:rsid w:val="009E1D20"/>
    <w:rsid w:val="009F0ED5"/>
    <w:rsid w:val="009F2D8B"/>
    <w:rsid w:val="009F3318"/>
    <w:rsid w:val="009F4EED"/>
    <w:rsid w:val="00A00939"/>
    <w:rsid w:val="00A0203B"/>
    <w:rsid w:val="00A115C6"/>
    <w:rsid w:val="00A13371"/>
    <w:rsid w:val="00A156A3"/>
    <w:rsid w:val="00A23C9E"/>
    <w:rsid w:val="00A2472C"/>
    <w:rsid w:val="00A3028A"/>
    <w:rsid w:val="00A3165D"/>
    <w:rsid w:val="00A36C42"/>
    <w:rsid w:val="00A37D35"/>
    <w:rsid w:val="00A43105"/>
    <w:rsid w:val="00A446DE"/>
    <w:rsid w:val="00A4673F"/>
    <w:rsid w:val="00A46DDB"/>
    <w:rsid w:val="00A501AD"/>
    <w:rsid w:val="00A50B91"/>
    <w:rsid w:val="00A52213"/>
    <w:rsid w:val="00A5670E"/>
    <w:rsid w:val="00A56B9A"/>
    <w:rsid w:val="00A61202"/>
    <w:rsid w:val="00A63051"/>
    <w:rsid w:val="00A63AC9"/>
    <w:rsid w:val="00A72901"/>
    <w:rsid w:val="00A77E20"/>
    <w:rsid w:val="00A80B84"/>
    <w:rsid w:val="00A80C29"/>
    <w:rsid w:val="00A872F9"/>
    <w:rsid w:val="00A876F9"/>
    <w:rsid w:val="00A904BB"/>
    <w:rsid w:val="00A941AE"/>
    <w:rsid w:val="00A95186"/>
    <w:rsid w:val="00AA366A"/>
    <w:rsid w:val="00AA4958"/>
    <w:rsid w:val="00AA55A9"/>
    <w:rsid w:val="00AB5090"/>
    <w:rsid w:val="00AC0C9E"/>
    <w:rsid w:val="00AC14C6"/>
    <w:rsid w:val="00AC249B"/>
    <w:rsid w:val="00AC4BD1"/>
    <w:rsid w:val="00AD1A1B"/>
    <w:rsid w:val="00AD30FE"/>
    <w:rsid w:val="00AD5556"/>
    <w:rsid w:val="00AD6D61"/>
    <w:rsid w:val="00AE1098"/>
    <w:rsid w:val="00AE2DB6"/>
    <w:rsid w:val="00AE3801"/>
    <w:rsid w:val="00AF5B2C"/>
    <w:rsid w:val="00B0110D"/>
    <w:rsid w:val="00B05C5C"/>
    <w:rsid w:val="00B05C82"/>
    <w:rsid w:val="00B07EA0"/>
    <w:rsid w:val="00B102D5"/>
    <w:rsid w:val="00B1226E"/>
    <w:rsid w:val="00B16662"/>
    <w:rsid w:val="00B21246"/>
    <w:rsid w:val="00B214F0"/>
    <w:rsid w:val="00B3115B"/>
    <w:rsid w:val="00B32D07"/>
    <w:rsid w:val="00B33084"/>
    <w:rsid w:val="00B33139"/>
    <w:rsid w:val="00B36055"/>
    <w:rsid w:val="00B36627"/>
    <w:rsid w:val="00B377D6"/>
    <w:rsid w:val="00B40B74"/>
    <w:rsid w:val="00B443B8"/>
    <w:rsid w:val="00B45E89"/>
    <w:rsid w:val="00B462F2"/>
    <w:rsid w:val="00B4698E"/>
    <w:rsid w:val="00B46A0F"/>
    <w:rsid w:val="00B46C31"/>
    <w:rsid w:val="00B54E4A"/>
    <w:rsid w:val="00B55CF4"/>
    <w:rsid w:val="00B56206"/>
    <w:rsid w:val="00B56BB1"/>
    <w:rsid w:val="00B56F26"/>
    <w:rsid w:val="00B73378"/>
    <w:rsid w:val="00B767BE"/>
    <w:rsid w:val="00B80509"/>
    <w:rsid w:val="00B84FFB"/>
    <w:rsid w:val="00B8637C"/>
    <w:rsid w:val="00B8691E"/>
    <w:rsid w:val="00B92424"/>
    <w:rsid w:val="00B92773"/>
    <w:rsid w:val="00B940DA"/>
    <w:rsid w:val="00B97134"/>
    <w:rsid w:val="00B97954"/>
    <w:rsid w:val="00BA2026"/>
    <w:rsid w:val="00BA4A92"/>
    <w:rsid w:val="00BC2FE1"/>
    <w:rsid w:val="00BC36FC"/>
    <w:rsid w:val="00BC5C09"/>
    <w:rsid w:val="00BC619A"/>
    <w:rsid w:val="00BD262D"/>
    <w:rsid w:val="00BD4D92"/>
    <w:rsid w:val="00BE7C31"/>
    <w:rsid w:val="00BF0989"/>
    <w:rsid w:val="00BF450E"/>
    <w:rsid w:val="00BF5472"/>
    <w:rsid w:val="00C0030A"/>
    <w:rsid w:val="00C069C2"/>
    <w:rsid w:val="00C07F5C"/>
    <w:rsid w:val="00C124D0"/>
    <w:rsid w:val="00C126F2"/>
    <w:rsid w:val="00C1587B"/>
    <w:rsid w:val="00C15F40"/>
    <w:rsid w:val="00C262C2"/>
    <w:rsid w:val="00C33906"/>
    <w:rsid w:val="00C37D43"/>
    <w:rsid w:val="00C40A47"/>
    <w:rsid w:val="00C4161B"/>
    <w:rsid w:val="00C4177B"/>
    <w:rsid w:val="00C4225D"/>
    <w:rsid w:val="00C42DD9"/>
    <w:rsid w:val="00C446BE"/>
    <w:rsid w:val="00C44A9E"/>
    <w:rsid w:val="00C46301"/>
    <w:rsid w:val="00C501C1"/>
    <w:rsid w:val="00C54330"/>
    <w:rsid w:val="00C5487B"/>
    <w:rsid w:val="00C60957"/>
    <w:rsid w:val="00C61CEC"/>
    <w:rsid w:val="00C61FC6"/>
    <w:rsid w:val="00C635DA"/>
    <w:rsid w:val="00C6468E"/>
    <w:rsid w:val="00C709BB"/>
    <w:rsid w:val="00C76195"/>
    <w:rsid w:val="00C772CF"/>
    <w:rsid w:val="00C82F2A"/>
    <w:rsid w:val="00C87A15"/>
    <w:rsid w:val="00C939B2"/>
    <w:rsid w:val="00C9517F"/>
    <w:rsid w:val="00C96105"/>
    <w:rsid w:val="00C97593"/>
    <w:rsid w:val="00CA0491"/>
    <w:rsid w:val="00CA0F46"/>
    <w:rsid w:val="00CA492B"/>
    <w:rsid w:val="00CB083C"/>
    <w:rsid w:val="00CB18B4"/>
    <w:rsid w:val="00CB2FCB"/>
    <w:rsid w:val="00CB7284"/>
    <w:rsid w:val="00CB75CD"/>
    <w:rsid w:val="00CC24E1"/>
    <w:rsid w:val="00CC37A2"/>
    <w:rsid w:val="00CC6237"/>
    <w:rsid w:val="00CC75F8"/>
    <w:rsid w:val="00CD77EF"/>
    <w:rsid w:val="00CE0F45"/>
    <w:rsid w:val="00CE4D9F"/>
    <w:rsid w:val="00CE6564"/>
    <w:rsid w:val="00CE718B"/>
    <w:rsid w:val="00CE75FC"/>
    <w:rsid w:val="00CF0A47"/>
    <w:rsid w:val="00CF14D7"/>
    <w:rsid w:val="00CF460F"/>
    <w:rsid w:val="00CF6852"/>
    <w:rsid w:val="00D03474"/>
    <w:rsid w:val="00D05E2F"/>
    <w:rsid w:val="00D07060"/>
    <w:rsid w:val="00D0779A"/>
    <w:rsid w:val="00D10A46"/>
    <w:rsid w:val="00D1231C"/>
    <w:rsid w:val="00D15269"/>
    <w:rsid w:val="00D158B8"/>
    <w:rsid w:val="00D17644"/>
    <w:rsid w:val="00D2214D"/>
    <w:rsid w:val="00D255F6"/>
    <w:rsid w:val="00D257AD"/>
    <w:rsid w:val="00D264D0"/>
    <w:rsid w:val="00D304FE"/>
    <w:rsid w:val="00D33CB6"/>
    <w:rsid w:val="00D4192F"/>
    <w:rsid w:val="00D41CC3"/>
    <w:rsid w:val="00D46A68"/>
    <w:rsid w:val="00D55B5A"/>
    <w:rsid w:val="00D569DA"/>
    <w:rsid w:val="00D61055"/>
    <w:rsid w:val="00D643D7"/>
    <w:rsid w:val="00D64580"/>
    <w:rsid w:val="00D67442"/>
    <w:rsid w:val="00D77212"/>
    <w:rsid w:val="00D83988"/>
    <w:rsid w:val="00D84714"/>
    <w:rsid w:val="00D86910"/>
    <w:rsid w:val="00D87763"/>
    <w:rsid w:val="00D879A0"/>
    <w:rsid w:val="00D95FA9"/>
    <w:rsid w:val="00D96971"/>
    <w:rsid w:val="00D96ACA"/>
    <w:rsid w:val="00DA3C1E"/>
    <w:rsid w:val="00DA5711"/>
    <w:rsid w:val="00DB0F23"/>
    <w:rsid w:val="00DB1938"/>
    <w:rsid w:val="00DB218A"/>
    <w:rsid w:val="00DB2746"/>
    <w:rsid w:val="00DB32C9"/>
    <w:rsid w:val="00DB45FF"/>
    <w:rsid w:val="00DB6602"/>
    <w:rsid w:val="00DB6A7F"/>
    <w:rsid w:val="00DC1343"/>
    <w:rsid w:val="00DC35C7"/>
    <w:rsid w:val="00DC3606"/>
    <w:rsid w:val="00DC653F"/>
    <w:rsid w:val="00DD0144"/>
    <w:rsid w:val="00DD5773"/>
    <w:rsid w:val="00DD769B"/>
    <w:rsid w:val="00DD7B26"/>
    <w:rsid w:val="00DE40BC"/>
    <w:rsid w:val="00DE583D"/>
    <w:rsid w:val="00DE7240"/>
    <w:rsid w:val="00DF2234"/>
    <w:rsid w:val="00DF2338"/>
    <w:rsid w:val="00E0042C"/>
    <w:rsid w:val="00E01945"/>
    <w:rsid w:val="00E01DF6"/>
    <w:rsid w:val="00E02585"/>
    <w:rsid w:val="00E03858"/>
    <w:rsid w:val="00E067DF"/>
    <w:rsid w:val="00E1006A"/>
    <w:rsid w:val="00E13412"/>
    <w:rsid w:val="00E15BF6"/>
    <w:rsid w:val="00E17D53"/>
    <w:rsid w:val="00E22418"/>
    <w:rsid w:val="00E256A6"/>
    <w:rsid w:val="00E267B1"/>
    <w:rsid w:val="00E30601"/>
    <w:rsid w:val="00E31BCA"/>
    <w:rsid w:val="00E31CC3"/>
    <w:rsid w:val="00E32098"/>
    <w:rsid w:val="00E32182"/>
    <w:rsid w:val="00E4366B"/>
    <w:rsid w:val="00E43BFD"/>
    <w:rsid w:val="00E4420F"/>
    <w:rsid w:val="00E55A82"/>
    <w:rsid w:val="00E5672F"/>
    <w:rsid w:val="00E56D55"/>
    <w:rsid w:val="00E6199D"/>
    <w:rsid w:val="00E62C7B"/>
    <w:rsid w:val="00E6455D"/>
    <w:rsid w:val="00E702F2"/>
    <w:rsid w:val="00E723B8"/>
    <w:rsid w:val="00E72EAE"/>
    <w:rsid w:val="00E7467A"/>
    <w:rsid w:val="00E75E9A"/>
    <w:rsid w:val="00E81F99"/>
    <w:rsid w:val="00E82E1B"/>
    <w:rsid w:val="00E83E8E"/>
    <w:rsid w:val="00E85DCA"/>
    <w:rsid w:val="00E9061D"/>
    <w:rsid w:val="00E95418"/>
    <w:rsid w:val="00EA22E7"/>
    <w:rsid w:val="00EB705D"/>
    <w:rsid w:val="00EC4092"/>
    <w:rsid w:val="00ED0BBE"/>
    <w:rsid w:val="00ED7D3A"/>
    <w:rsid w:val="00EE7122"/>
    <w:rsid w:val="00EF58C5"/>
    <w:rsid w:val="00F0121F"/>
    <w:rsid w:val="00F01821"/>
    <w:rsid w:val="00F03CFA"/>
    <w:rsid w:val="00F0758A"/>
    <w:rsid w:val="00F07E07"/>
    <w:rsid w:val="00F1084F"/>
    <w:rsid w:val="00F1105E"/>
    <w:rsid w:val="00F11D9C"/>
    <w:rsid w:val="00F122E9"/>
    <w:rsid w:val="00F13C7A"/>
    <w:rsid w:val="00F152CA"/>
    <w:rsid w:val="00F20819"/>
    <w:rsid w:val="00F20D20"/>
    <w:rsid w:val="00F30389"/>
    <w:rsid w:val="00F3131B"/>
    <w:rsid w:val="00F31F04"/>
    <w:rsid w:val="00F35D3F"/>
    <w:rsid w:val="00F35EB2"/>
    <w:rsid w:val="00F41AAE"/>
    <w:rsid w:val="00F42149"/>
    <w:rsid w:val="00F50187"/>
    <w:rsid w:val="00F517B9"/>
    <w:rsid w:val="00F526CC"/>
    <w:rsid w:val="00F5794A"/>
    <w:rsid w:val="00F57A32"/>
    <w:rsid w:val="00F60FC1"/>
    <w:rsid w:val="00F640A5"/>
    <w:rsid w:val="00F702CF"/>
    <w:rsid w:val="00F7063D"/>
    <w:rsid w:val="00F70941"/>
    <w:rsid w:val="00F709AC"/>
    <w:rsid w:val="00F723EF"/>
    <w:rsid w:val="00F73507"/>
    <w:rsid w:val="00F74D70"/>
    <w:rsid w:val="00F76D46"/>
    <w:rsid w:val="00F90E25"/>
    <w:rsid w:val="00FA3528"/>
    <w:rsid w:val="00FA525F"/>
    <w:rsid w:val="00FA54AF"/>
    <w:rsid w:val="00FB22A6"/>
    <w:rsid w:val="00FB28B7"/>
    <w:rsid w:val="00FB3200"/>
    <w:rsid w:val="00FC3F3B"/>
    <w:rsid w:val="00FC493F"/>
    <w:rsid w:val="00FC5ADF"/>
    <w:rsid w:val="00FC6BDB"/>
    <w:rsid w:val="00FC6EB5"/>
    <w:rsid w:val="00FD7004"/>
    <w:rsid w:val="00FD7EE0"/>
    <w:rsid w:val="00FE1490"/>
    <w:rsid w:val="00FE5D45"/>
    <w:rsid w:val="00FF0774"/>
    <w:rsid w:val="00FF0966"/>
    <w:rsid w:val="00FF362D"/>
    <w:rsid w:val="00FF409B"/>
    <w:rsid w:val="00FF4543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D77F2F2"/>
  <w15:docId w15:val="{9EF85AB1-4E02-4EAB-A50A-631CE60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FCB"/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B45FF"/>
    <w:pPr>
      <w:keepNext/>
      <w:numPr>
        <w:numId w:val="40"/>
      </w:numPr>
      <w:outlineLvl w:val="0"/>
    </w:pPr>
    <w:rPr>
      <w:rFonts w:eastAsia="Times New Roman" w:cs="Times New Roman"/>
      <w:b/>
      <w:bCs/>
      <w:kern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0C9E"/>
    <w:pPr>
      <w:keepNext/>
      <w:outlineLvl w:val="3"/>
    </w:pPr>
    <w:rPr>
      <w:rFonts w:eastAsia="Times New Roman" w:cs="Times New Roman"/>
      <w:i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B45FF"/>
    <w:rPr>
      <w:rFonts w:eastAsia="Times New Roman" w:cs="Times New Roman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C0C9E"/>
    <w:rPr>
      <w:rFonts w:eastAsia="Times New Roman" w:cs="Times New Roman"/>
      <w:i/>
    </w:rPr>
  </w:style>
  <w:style w:type="paragraph" w:styleId="Kopfzeile">
    <w:name w:val="header"/>
    <w:aliases w:val="Unterstreichen"/>
    <w:basedOn w:val="Standard"/>
    <w:link w:val="KopfzeileZchn"/>
    <w:uiPriority w:val="99"/>
    <w:rsid w:val="00AC0C9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aliases w:val="Unterstreichen Zchn"/>
    <w:basedOn w:val="Absatz-Standardschriftart"/>
    <w:link w:val="Kopfzeile"/>
    <w:uiPriority w:val="99"/>
    <w:locked/>
    <w:rsid w:val="00AC0C9E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AC0C9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C0C9E"/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0C9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0C9E"/>
    <w:rPr>
      <w:rFonts w:ascii="Tahoma" w:hAnsi="Tahoma" w:cs="Times New Roman"/>
      <w:sz w:val="16"/>
      <w:lang w:eastAsia="en-US"/>
    </w:rPr>
  </w:style>
  <w:style w:type="character" w:styleId="Seitenzahl">
    <w:name w:val="page number"/>
    <w:basedOn w:val="Absatz-Standardschriftart"/>
    <w:uiPriority w:val="99"/>
    <w:rsid w:val="00AC0C9E"/>
    <w:rPr>
      <w:rFonts w:cs="Times New Roman"/>
    </w:rPr>
  </w:style>
  <w:style w:type="character" w:styleId="Hyperlink">
    <w:name w:val="Hyperlink"/>
    <w:basedOn w:val="Absatz-Standardschriftart"/>
    <w:uiPriority w:val="99"/>
    <w:rsid w:val="00AC0C9E"/>
    <w:rPr>
      <w:rFonts w:ascii="Verdana" w:hAnsi="Verdana" w:cs="Times New Roman"/>
      <w:b/>
      <w:color w:val="FC6634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rsid w:val="00AC0C9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0C9E"/>
    <w:rPr>
      <w:rFonts w:ascii="Times New Roman" w:eastAsia="Times New Roman" w:hAnsi="Times New Roman" w:cs="Times New Roman"/>
      <w:lang w:eastAsia="de-DE" w:bidi="he-I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C0C9E"/>
    <w:rPr>
      <w:rFonts w:ascii="Times New Roman" w:hAnsi="Times New Roman" w:cs="Times New Roman"/>
    </w:rPr>
  </w:style>
  <w:style w:type="paragraph" w:customStyle="1" w:styleId="bodytext">
    <w:name w:val="bodytext"/>
    <w:basedOn w:val="Standard"/>
    <w:uiPriority w:val="99"/>
    <w:rsid w:val="00AC0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AC0C9E"/>
    <w:rPr>
      <w:rFonts w:ascii="Courier New" w:eastAsia="Times New Roman" w:hAnsi="Courier New" w:cs="Times New Roman"/>
      <w:lang w:eastAsia="de-DE" w:bidi="he-IL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C0C9E"/>
    <w:rPr>
      <w:rFonts w:ascii="Courier New" w:hAnsi="Courier New" w:cs="Times New Roman"/>
    </w:rPr>
  </w:style>
  <w:style w:type="paragraph" w:customStyle="1" w:styleId="EinfacherAbsatz">
    <w:name w:val="[Einfacher Absatz]"/>
    <w:basedOn w:val="Standard"/>
    <w:uiPriority w:val="99"/>
    <w:rsid w:val="00AC0C9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FF0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C49CA"/>
    <w:rPr>
      <w:rFonts w:ascii="Arial" w:eastAsia="Calibri" w:hAnsi="Arial" w:cs="Arial"/>
      <w:b/>
      <w:bCs/>
      <w:lang w:eastAsia="en-US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E7351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rsid w:val="00FD7004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B33139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E7351"/>
    <w:rPr>
      <w:rFonts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99"/>
    <w:qFormat/>
    <w:rsid w:val="00B1226E"/>
    <w:pPr>
      <w:ind w:left="708"/>
    </w:pPr>
  </w:style>
  <w:style w:type="table" w:styleId="Tabellenraster">
    <w:name w:val="Table Grid"/>
    <w:basedOn w:val="NormaleTabelle"/>
    <w:uiPriority w:val="99"/>
    <w:rsid w:val="00F31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99"/>
    <w:qFormat/>
    <w:rsid w:val="009B3F0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99"/>
    <w:rsid w:val="00A4673F"/>
    <w:pPr>
      <w:tabs>
        <w:tab w:val="left" w:pos="440"/>
        <w:tab w:val="right" w:leader="dot" w:pos="9781"/>
      </w:tabs>
      <w:spacing w:before="120"/>
    </w:pPr>
  </w:style>
  <w:style w:type="paragraph" w:styleId="berarbeitung">
    <w:name w:val="Revision"/>
    <w:hidden/>
    <w:uiPriority w:val="99"/>
    <w:semiHidden/>
    <w:rsid w:val="003D2FC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5D7-85D6-447D-9DE8-3874A200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1398</Words>
  <Characters>11046</Characters>
  <Application>Microsoft Office Word</Application>
  <DocSecurity>0</DocSecurity>
  <Lines>92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Nephro</vt:lpstr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Nephro</dc:title>
  <dc:creator>ClarCert GmbH</dc:creator>
  <cp:lastModifiedBy>ClarCert - Marco Schneider</cp:lastModifiedBy>
  <cp:revision>6</cp:revision>
  <cp:lastPrinted>2014-04-08T17:29:00Z</cp:lastPrinted>
  <dcterms:created xsi:type="dcterms:W3CDTF">2022-02-01T08:52:00Z</dcterms:created>
  <dcterms:modified xsi:type="dcterms:W3CDTF">2023-02-21T08:52:00Z</dcterms:modified>
</cp:coreProperties>
</file>